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4D3" w:rsidRDefault="00D244D3" w:rsidP="009656F3">
      <w:pPr>
        <w:pStyle w:val="a8"/>
        <w:jc w:val="center"/>
      </w:pPr>
      <w:r>
        <w:rPr>
          <w:noProof/>
        </w:rPr>
        <w:drawing>
          <wp:inline distT="0" distB="0" distL="0" distR="0">
            <wp:extent cx="536888" cy="6572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88" cy="657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4D3" w:rsidRDefault="00D244D3" w:rsidP="009656F3">
      <w:pPr>
        <w:pStyle w:val="a8"/>
        <w:jc w:val="center"/>
      </w:pPr>
    </w:p>
    <w:p w:rsidR="00D244D3" w:rsidRPr="000C6556" w:rsidRDefault="00D244D3" w:rsidP="009656F3">
      <w:pPr>
        <w:pStyle w:val="a8"/>
        <w:jc w:val="center"/>
        <w:rPr>
          <w:b/>
          <w:caps/>
          <w:sz w:val="28"/>
          <w:szCs w:val="28"/>
        </w:rPr>
      </w:pPr>
      <w:r w:rsidRPr="000C6556">
        <w:rPr>
          <w:b/>
          <w:caps/>
          <w:sz w:val="28"/>
          <w:szCs w:val="28"/>
        </w:rPr>
        <w:t>СОБРАНИЕ</w:t>
      </w:r>
    </w:p>
    <w:p w:rsidR="00D244D3" w:rsidRPr="000C6556" w:rsidRDefault="00D244D3" w:rsidP="009656F3">
      <w:pPr>
        <w:pStyle w:val="a8"/>
        <w:jc w:val="center"/>
        <w:rPr>
          <w:b/>
          <w:sz w:val="28"/>
          <w:szCs w:val="28"/>
        </w:rPr>
      </w:pPr>
      <w:r w:rsidRPr="000C6556">
        <w:rPr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D244D3" w:rsidRDefault="00D244D3" w:rsidP="009656F3">
      <w:pPr>
        <w:pStyle w:val="a8"/>
        <w:jc w:val="center"/>
        <w:rPr>
          <w:b/>
          <w:sz w:val="28"/>
          <w:szCs w:val="28"/>
        </w:rPr>
      </w:pPr>
    </w:p>
    <w:p w:rsidR="009656F3" w:rsidRDefault="00DD517E" w:rsidP="009656F3">
      <w:pPr>
        <w:spacing w:after="0" w:line="240" w:lineRule="auto"/>
        <w:ind w:left="40"/>
        <w:rPr>
          <w:b/>
          <w:bCs/>
          <w:sz w:val="28"/>
          <w:szCs w:val="28"/>
        </w:rPr>
      </w:pPr>
      <w:r w:rsidRPr="00DD517E">
        <w:pict>
          <v:line id="_x0000_s1026" style="position:absolute;left:0;text-align:left;z-index:251660288" from="-3.95pt,4.8pt" to="489.85pt,4.8pt" strokeweight="1.59mm">
            <v:stroke joinstyle="miter"/>
          </v:line>
        </w:pict>
      </w:r>
    </w:p>
    <w:p w:rsidR="0093341D" w:rsidRDefault="00D244D3" w:rsidP="009656F3">
      <w:pPr>
        <w:spacing w:after="0" w:line="240" w:lineRule="auto"/>
        <w:ind w:left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6556">
        <w:rPr>
          <w:rFonts w:ascii="Times New Roman" w:hAnsi="Times New Roman" w:cs="Times New Roman"/>
          <w:b/>
          <w:bCs/>
          <w:sz w:val="28"/>
          <w:szCs w:val="28"/>
        </w:rPr>
        <w:t xml:space="preserve">РЕШЕНИЕ     </w:t>
      </w:r>
      <w:r w:rsidR="00467A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E5D5C" w:rsidRDefault="00467A9A" w:rsidP="00FE5D5C">
      <w:pPr>
        <w:spacing w:after="0" w:line="240" w:lineRule="auto"/>
        <w:ind w:left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D244D3" w:rsidRPr="00FE5D5C" w:rsidRDefault="00B362CC" w:rsidP="00FE5D5C">
      <w:pPr>
        <w:spacing w:after="0" w:line="240" w:lineRule="auto"/>
        <w:ind w:left="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«27</w:t>
      </w:r>
      <w:r w:rsidR="00D244D3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апреля</w:t>
      </w:r>
      <w:r w:rsidR="0012429E">
        <w:rPr>
          <w:rFonts w:ascii="Times New Roman" w:hAnsi="Times New Roman" w:cs="Times New Roman"/>
          <w:sz w:val="24"/>
          <w:szCs w:val="24"/>
        </w:rPr>
        <w:t xml:space="preserve"> </w:t>
      </w:r>
      <w:r w:rsidR="00D244D3">
        <w:rPr>
          <w:rFonts w:ascii="Times New Roman" w:hAnsi="Times New Roman" w:cs="Times New Roman"/>
          <w:sz w:val="24"/>
          <w:szCs w:val="24"/>
        </w:rPr>
        <w:t>202</w:t>
      </w:r>
      <w:r w:rsidR="00D708D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D244D3">
        <w:rPr>
          <w:rFonts w:ascii="Times New Roman" w:hAnsi="Times New Roman" w:cs="Times New Roman"/>
          <w:sz w:val="24"/>
          <w:szCs w:val="24"/>
        </w:rPr>
        <w:t xml:space="preserve"> г.</w:t>
      </w:r>
      <w:r w:rsidR="00D244D3" w:rsidRPr="008F040F">
        <w:rPr>
          <w:rFonts w:ascii="Times New Roman" w:hAnsi="Times New Roman" w:cs="Times New Roman"/>
          <w:sz w:val="24"/>
          <w:szCs w:val="24"/>
        </w:rPr>
        <w:tab/>
      </w:r>
      <w:r w:rsidR="00D244D3" w:rsidRPr="008F040F">
        <w:rPr>
          <w:rFonts w:ascii="Times New Roman" w:hAnsi="Times New Roman" w:cs="Times New Roman"/>
          <w:sz w:val="24"/>
          <w:szCs w:val="24"/>
        </w:rPr>
        <w:tab/>
      </w:r>
      <w:r w:rsidR="00D244D3" w:rsidRPr="008F040F">
        <w:rPr>
          <w:rFonts w:ascii="Times New Roman" w:hAnsi="Times New Roman" w:cs="Times New Roman"/>
          <w:sz w:val="24"/>
          <w:szCs w:val="24"/>
        </w:rPr>
        <w:tab/>
      </w:r>
      <w:r w:rsidR="00D244D3" w:rsidRPr="008F040F">
        <w:rPr>
          <w:rFonts w:ascii="Times New Roman" w:hAnsi="Times New Roman" w:cs="Times New Roman"/>
          <w:sz w:val="24"/>
          <w:szCs w:val="24"/>
        </w:rPr>
        <w:tab/>
      </w:r>
      <w:r w:rsidR="00D244D3" w:rsidRPr="008F040F">
        <w:rPr>
          <w:rFonts w:ascii="Times New Roman" w:hAnsi="Times New Roman" w:cs="Times New Roman"/>
          <w:sz w:val="24"/>
          <w:szCs w:val="24"/>
        </w:rPr>
        <w:tab/>
      </w:r>
      <w:r w:rsidR="00D244D3" w:rsidRPr="008F040F">
        <w:rPr>
          <w:rFonts w:ascii="Times New Roman" w:hAnsi="Times New Roman" w:cs="Times New Roman"/>
          <w:sz w:val="24"/>
          <w:szCs w:val="24"/>
        </w:rPr>
        <w:tab/>
      </w:r>
      <w:r w:rsidR="00D244D3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467A9A">
        <w:rPr>
          <w:rFonts w:ascii="Times New Roman" w:hAnsi="Times New Roman" w:cs="Times New Roman"/>
          <w:sz w:val="24"/>
          <w:szCs w:val="24"/>
        </w:rPr>
        <w:t xml:space="preserve">      </w:t>
      </w:r>
      <w:r w:rsidR="00D244D3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172</w:t>
      </w:r>
      <w:r w:rsidR="00D244D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a"/>
        <w:tblpPr w:leftFromText="180" w:rightFromText="180" w:vertAnchor="text" w:horzAnchor="margin" w:tblpY="430"/>
        <w:tblW w:w="0" w:type="auto"/>
        <w:tblLayout w:type="fixed"/>
        <w:tblLook w:val="04A0"/>
      </w:tblPr>
      <w:tblGrid>
        <w:gridCol w:w="5211"/>
      </w:tblGrid>
      <w:tr w:rsidR="00D244D3" w:rsidRPr="009656F3" w:rsidTr="00C661D8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244D3" w:rsidRPr="009656F3" w:rsidRDefault="009656F3" w:rsidP="00C661D8">
            <w:pPr>
              <w:tabs>
                <w:tab w:val="left" w:pos="4962"/>
              </w:tabs>
              <w:spacing w:line="276" w:lineRule="auto"/>
              <w:ind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56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 внесении </w:t>
            </w:r>
            <w:r w:rsidR="00C661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дополнений</w:t>
            </w:r>
            <w:r w:rsidRPr="009656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Решение Собрания Базарно-Карабулакского муниципального района Саратовской области от </w:t>
            </w:r>
            <w:r w:rsidR="00783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</w:t>
            </w:r>
            <w:r w:rsidRPr="009656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783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  <w:r w:rsidRPr="009656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.201</w:t>
            </w:r>
            <w:r w:rsidR="00783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9656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г.  №</w:t>
            </w:r>
            <w:r w:rsidR="00783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1457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9656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«Об утверждении </w:t>
            </w:r>
            <w:r w:rsidR="007831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Правил землепользования и застройки территории </w:t>
            </w:r>
            <w:r w:rsidR="0014574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Алексеевского</w:t>
            </w:r>
            <w:r w:rsidR="00D708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656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9334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МО Базарно– Карабулакского муниципального района</w:t>
            </w:r>
            <w:r w:rsidRPr="009656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</w:tr>
    </w:tbl>
    <w:p w:rsidR="00D244D3" w:rsidRDefault="00D244D3" w:rsidP="009656F3">
      <w:pPr>
        <w:tabs>
          <w:tab w:val="left" w:pos="4395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656F3" w:rsidRPr="009656F3" w:rsidRDefault="009656F3" w:rsidP="009656F3">
      <w:pPr>
        <w:tabs>
          <w:tab w:val="left" w:pos="4395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244D3" w:rsidRPr="009656F3" w:rsidRDefault="00D244D3" w:rsidP="009656F3">
      <w:pPr>
        <w:tabs>
          <w:tab w:val="left" w:pos="4395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244D3" w:rsidRPr="009656F3" w:rsidRDefault="00D244D3" w:rsidP="009656F3">
      <w:pPr>
        <w:tabs>
          <w:tab w:val="left" w:pos="4395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244D3" w:rsidRPr="009656F3" w:rsidRDefault="00D244D3" w:rsidP="009656F3">
      <w:pPr>
        <w:tabs>
          <w:tab w:val="left" w:pos="4395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244D3" w:rsidRPr="009656F3" w:rsidRDefault="00D244D3" w:rsidP="009656F3">
      <w:pPr>
        <w:tabs>
          <w:tab w:val="left" w:pos="4395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656F3" w:rsidRPr="009656F3" w:rsidRDefault="009656F3" w:rsidP="009656F3">
      <w:pPr>
        <w:tabs>
          <w:tab w:val="left" w:pos="4395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656F3" w:rsidRDefault="009656F3" w:rsidP="009656F3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9656F3" w:rsidRDefault="009656F3" w:rsidP="009656F3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9656F3" w:rsidRDefault="009656F3" w:rsidP="009656F3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78315B" w:rsidRDefault="0078315B" w:rsidP="009656F3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78315B" w:rsidRDefault="0078315B" w:rsidP="009656F3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467A9A" w:rsidRDefault="00C661D8" w:rsidP="009656F3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Земельным кодексом РФ от 25.10.2001г. № 136-ФЗ, в</w:t>
      </w:r>
      <w:r w:rsidR="00D244D3" w:rsidRPr="009656F3">
        <w:rPr>
          <w:rFonts w:ascii="Times New Roman" w:hAnsi="Times New Roman" w:cs="Times New Roman"/>
          <w:sz w:val="24"/>
          <w:szCs w:val="24"/>
        </w:rPr>
        <w:t xml:space="preserve"> соответствии </w:t>
      </w:r>
      <w:r w:rsidR="0012429E" w:rsidRPr="009656F3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т. 10 Федерального закона от 13.07.2015г. № 218-ФЗ «О государственной регистрации недвижимости»</w:t>
      </w:r>
      <w:r w:rsidR="00D244D3" w:rsidRPr="009656F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Федеральным законом от 23.06.2014 г. № 171-ФЗ «О внесении изменений в Земельный кодекс РФ и отдельные законодательные акты РФ», п.20 ч.1 с.14  Федерального</w:t>
      </w:r>
      <w:r w:rsidR="00D244D3" w:rsidRPr="009656F3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244D3" w:rsidRPr="009656F3">
        <w:rPr>
          <w:rFonts w:ascii="Times New Roman" w:hAnsi="Times New Roman" w:cs="Times New Roman"/>
          <w:sz w:val="24"/>
          <w:szCs w:val="24"/>
        </w:rPr>
        <w:t xml:space="preserve"> от 06.10.2003г. № 131-ФЗ «Об общих принципах организации местного самоуправления в Российской Федерации», руководствуясь Уставом Базарно-Карабулакского муниципального района, Собрание Базарно-Карабулакского муниципального района</w:t>
      </w:r>
    </w:p>
    <w:p w:rsidR="00C661D8" w:rsidRDefault="00C661D8" w:rsidP="009656F3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C661D8" w:rsidRPr="00C661D8" w:rsidRDefault="00C661D8" w:rsidP="00C661D8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РЕШИЛО:</w:t>
      </w:r>
    </w:p>
    <w:p w:rsidR="009656F3" w:rsidRPr="009656F3" w:rsidRDefault="009656F3" w:rsidP="009656F3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271A7A" w:rsidRPr="009656F3" w:rsidRDefault="00271A7A" w:rsidP="00DB6AC9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656F3">
        <w:rPr>
          <w:rFonts w:ascii="Times New Roman" w:hAnsi="Times New Roman" w:cs="Times New Roman"/>
          <w:sz w:val="24"/>
          <w:szCs w:val="24"/>
        </w:rPr>
        <w:t xml:space="preserve">1. </w:t>
      </w:r>
      <w:r w:rsidR="00E67859" w:rsidRPr="009656F3">
        <w:rPr>
          <w:rFonts w:ascii="Times New Roman" w:hAnsi="Times New Roman" w:cs="Times New Roman"/>
          <w:sz w:val="24"/>
          <w:szCs w:val="24"/>
        </w:rPr>
        <w:t xml:space="preserve">Внести в </w:t>
      </w:r>
      <w:r w:rsidR="00C661D8">
        <w:rPr>
          <w:rFonts w:ascii="Times New Roman" w:hAnsi="Times New Roman" w:cs="Times New Roman"/>
          <w:sz w:val="24"/>
          <w:szCs w:val="24"/>
        </w:rPr>
        <w:t>Правила землепользования и застройки территории</w:t>
      </w:r>
      <w:r w:rsidR="00E67859" w:rsidRPr="009656F3">
        <w:rPr>
          <w:rFonts w:ascii="Times New Roman" w:hAnsi="Times New Roman" w:cs="Times New Roman"/>
          <w:sz w:val="24"/>
          <w:szCs w:val="24"/>
        </w:rPr>
        <w:t xml:space="preserve"> </w:t>
      </w:r>
      <w:r w:rsidR="0014574D">
        <w:rPr>
          <w:rFonts w:ascii="Times New Roman" w:hAnsi="Times New Roman" w:cs="Times New Roman"/>
          <w:bCs/>
          <w:color w:val="000000"/>
          <w:sz w:val="24"/>
          <w:szCs w:val="24"/>
        </w:rPr>
        <w:t>Алексеевского</w:t>
      </w:r>
      <w:r w:rsidR="00E67859" w:rsidRPr="009656F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Ба</w:t>
      </w:r>
      <w:r w:rsidRPr="009656F3">
        <w:rPr>
          <w:rFonts w:ascii="Times New Roman" w:hAnsi="Times New Roman" w:cs="Times New Roman"/>
          <w:sz w:val="24"/>
          <w:szCs w:val="24"/>
        </w:rPr>
        <w:t xml:space="preserve">зарно-Карабулакского </w:t>
      </w:r>
      <w:r w:rsidR="00C661D8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9656F3">
        <w:rPr>
          <w:rFonts w:ascii="Times New Roman" w:hAnsi="Times New Roman" w:cs="Times New Roman"/>
          <w:sz w:val="24"/>
          <w:szCs w:val="24"/>
        </w:rPr>
        <w:t>района Сар</w:t>
      </w:r>
      <w:r w:rsidR="00E67859" w:rsidRPr="009656F3">
        <w:rPr>
          <w:rFonts w:ascii="Times New Roman" w:hAnsi="Times New Roman" w:cs="Times New Roman"/>
          <w:sz w:val="24"/>
          <w:szCs w:val="24"/>
        </w:rPr>
        <w:t>атовской области</w:t>
      </w:r>
      <w:r w:rsidRPr="009656F3">
        <w:rPr>
          <w:rFonts w:ascii="Times New Roman" w:hAnsi="Times New Roman" w:cs="Times New Roman"/>
          <w:sz w:val="24"/>
          <w:szCs w:val="24"/>
        </w:rPr>
        <w:t xml:space="preserve"> следующие </w:t>
      </w:r>
      <w:r w:rsidR="00C661D8">
        <w:rPr>
          <w:rFonts w:ascii="Times New Roman" w:hAnsi="Times New Roman" w:cs="Times New Roman"/>
          <w:sz w:val="24"/>
          <w:szCs w:val="24"/>
        </w:rPr>
        <w:t>дополнения</w:t>
      </w:r>
      <w:r w:rsidRPr="009656F3">
        <w:rPr>
          <w:rFonts w:ascii="Times New Roman" w:hAnsi="Times New Roman" w:cs="Times New Roman"/>
          <w:sz w:val="24"/>
          <w:szCs w:val="24"/>
        </w:rPr>
        <w:t>:</w:t>
      </w:r>
    </w:p>
    <w:p w:rsidR="00DB6AC9" w:rsidRDefault="00271A7A" w:rsidP="00DB6AC9">
      <w:pPr>
        <w:autoSpaceDE w:val="0"/>
        <w:spacing w:before="60" w:after="6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656F3">
        <w:rPr>
          <w:rFonts w:ascii="Times New Roman" w:hAnsi="Times New Roman" w:cs="Times New Roman"/>
          <w:sz w:val="24"/>
          <w:szCs w:val="24"/>
        </w:rPr>
        <w:t>1.1</w:t>
      </w:r>
      <w:r w:rsidR="00C661D8">
        <w:rPr>
          <w:rFonts w:ascii="Times New Roman" w:hAnsi="Times New Roman" w:cs="Times New Roman"/>
          <w:sz w:val="24"/>
          <w:szCs w:val="24"/>
        </w:rPr>
        <w:t>)</w:t>
      </w:r>
      <w:r w:rsidRPr="009656F3">
        <w:rPr>
          <w:rFonts w:ascii="Times New Roman" w:hAnsi="Times New Roman" w:cs="Times New Roman"/>
          <w:sz w:val="24"/>
          <w:szCs w:val="24"/>
        </w:rPr>
        <w:t xml:space="preserve"> </w:t>
      </w:r>
      <w:r w:rsidR="00C661D8">
        <w:rPr>
          <w:rFonts w:ascii="Times New Roman" w:hAnsi="Times New Roman" w:cs="Times New Roman"/>
          <w:sz w:val="24"/>
          <w:szCs w:val="24"/>
        </w:rPr>
        <w:t>Состав территори</w:t>
      </w:r>
      <w:r w:rsidR="00DB6AC9">
        <w:rPr>
          <w:rFonts w:ascii="Times New Roman" w:hAnsi="Times New Roman" w:cs="Times New Roman"/>
          <w:sz w:val="24"/>
          <w:szCs w:val="24"/>
        </w:rPr>
        <w:t>а</w:t>
      </w:r>
      <w:r w:rsidR="00C661D8">
        <w:rPr>
          <w:rFonts w:ascii="Times New Roman" w:hAnsi="Times New Roman" w:cs="Times New Roman"/>
          <w:sz w:val="24"/>
          <w:szCs w:val="24"/>
        </w:rPr>
        <w:t>льных зон «</w:t>
      </w:r>
      <w:r w:rsidR="00DB6AC9">
        <w:rPr>
          <w:rFonts w:ascii="Times New Roman" w:hAnsi="Times New Roman" w:cs="Times New Roman"/>
          <w:sz w:val="24"/>
          <w:szCs w:val="24"/>
        </w:rPr>
        <w:t xml:space="preserve"> Общественно-деловые зоны ОД</w:t>
      </w:r>
      <w:r w:rsidR="00C661D8">
        <w:rPr>
          <w:rFonts w:ascii="Times New Roman" w:hAnsi="Times New Roman" w:cs="Times New Roman"/>
          <w:sz w:val="24"/>
          <w:szCs w:val="24"/>
        </w:rPr>
        <w:t>»</w:t>
      </w:r>
      <w:r w:rsidR="00DB6AC9">
        <w:rPr>
          <w:rFonts w:ascii="Times New Roman" w:hAnsi="Times New Roman" w:cs="Times New Roman"/>
          <w:sz w:val="24"/>
          <w:szCs w:val="24"/>
        </w:rPr>
        <w:t xml:space="preserve"> статьи 36 «Виды территориальных зон, выделенных на картах градостроительного зонирования территории поселений Алексеевского МО ТЕРРИТОРИАЛЬНЫЕ ЗОНЫ И ИХ КОДОВОЕ ОБОЗНАЧЕНИЕ» </w:t>
      </w:r>
    </w:p>
    <w:p w:rsidR="002041AF" w:rsidRDefault="00DB6AC9" w:rsidP="00DB6AC9">
      <w:pPr>
        <w:autoSpaceDE w:val="0"/>
        <w:spacing w:before="60" w:after="6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дополнить: «</w:t>
      </w:r>
      <w:r w:rsidRPr="00DB6AC9">
        <w:rPr>
          <w:rFonts w:ascii="Times New Roman" w:hAnsi="Times New Roman" w:cs="Times New Roman"/>
          <w:b/>
          <w:sz w:val="24"/>
          <w:szCs w:val="24"/>
        </w:rPr>
        <w:t>Р-ОД</w:t>
      </w:r>
      <w:r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DB6AC9">
        <w:rPr>
          <w:rFonts w:ascii="Times New Roman" w:hAnsi="Times New Roman" w:cs="Times New Roman"/>
          <w:sz w:val="24"/>
          <w:szCs w:val="24"/>
        </w:rPr>
        <w:t xml:space="preserve"> Резервные территории для целей размещения общественно-деловой и коммерческой застройки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DB6AC9" w:rsidRDefault="00DB6AC9" w:rsidP="00DB6AC9">
      <w:pPr>
        <w:autoSpaceDE w:val="0"/>
        <w:spacing w:before="60" w:after="6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1.2) «</w:t>
      </w:r>
      <w:r>
        <w:rPr>
          <w:rFonts w:ascii="Times New Roman" w:hAnsi="Times New Roman" w:cs="Times New Roman"/>
          <w:b/>
          <w:sz w:val="24"/>
          <w:szCs w:val="24"/>
        </w:rPr>
        <w:t>ОБЩЕСТВЕННО-ДЕЛОВЫЕ ЗОНЫ</w:t>
      </w:r>
      <w:r>
        <w:rPr>
          <w:rFonts w:ascii="Times New Roman" w:hAnsi="Times New Roman" w:cs="Times New Roman"/>
          <w:sz w:val="24"/>
          <w:szCs w:val="24"/>
        </w:rPr>
        <w:t>» СТАТЬИ 38. Градостроительные регламенты – дополнить:</w:t>
      </w:r>
    </w:p>
    <w:p w:rsidR="00DB6AC9" w:rsidRPr="00FA430D" w:rsidRDefault="00DB6AC9" w:rsidP="00DB6AC9">
      <w:pPr>
        <w:autoSpaceDE w:val="0"/>
        <w:spacing w:before="60" w:after="60"/>
        <w:rPr>
          <w:b/>
          <w:bCs/>
          <w:u w:val="single"/>
        </w:rPr>
      </w:pPr>
      <w:r w:rsidRPr="00FA430D">
        <w:rPr>
          <w:b/>
          <w:bCs/>
          <w:u w:val="single"/>
        </w:rPr>
        <w:t>Р-ОД. Резервные территории для целей размещения общественно-деловой и коммерческой застройки.</w:t>
      </w:r>
    </w:p>
    <w:p w:rsidR="00DB6AC9" w:rsidRPr="00B41F80" w:rsidRDefault="00DB6AC9" w:rsidP="00DB6AC9">
      <w:pPr>
        <w:pStyle w:val="Iauiue"/>
        <w:spacing w:after="120"/>
        <w:ind w:firstLine="709"/>
        <w:jc w:val="both"/>
        <w:rPr>
          <w:i/>
          <w:iCs/>
          <w:color w:val="000000"/>
          <w:sz w:val="24"/>
          <w:szCs w:val="24"/>
        </w:rPr>
      </w:pPr>
      <w:r w:rsidRPr="00B41F80">
        <w:rPr>
          <w:i/>
          <w:iCs/>
          <w:color w:val="000000"/>
          <w:sz w:val="24"/>
          <w:szCs w:val="24"/>
        </w:rPr>
        <w:t>Зона резервных территорий для целей размещения общественно-деловой и коммерческой застройки Р-ОД выделена для формирования правовых условий использования и строительства недвижимости с широким спектром административных, деловых, общественных, культурных, обслуживающих и коммерческих видов использования многофункционального назначения. с возможностью определения параметров застройки и набора услуг по мере принятия решений о застройке территории органами местного самоуправления.</w:t>
      </w:r>
    </w:p>
    <w:p w:rsidR="00DB6AC9" w:rsidRPr="00DB6AC9" w:rsidRDefault="00DB6AC9" w:rsidP="00DB6AC9">
      <w:pPr>
        <w:pStyle w:val="Iauiue"/>
        <w:spacing w:after="120"/>
        <w:ind w:firstLine="709"/>
        <w:jc w:val="both"/>
        <w:rPr>
          <w:i/>
          <w:iCs/>
          <w:color w:val="000000"/>
          <w:sz w:val="24"/>
          <w:szCs w:val="24"/>
        </w:rPr>
      </w:pPr>
      <w:r w:rsidRPr="00B41F80">
        <w:rPr>
          <w:i/>
          <w:iCs/>
          <w:color w:val="000000"/>
          <w:sz w:val="24"/>
          <w:szCs w:val="24"/>
        </w:rPr>
        <w:lastRenderedPageBreak/>
        <w:t xml:space="preserve">Зона предназначена для обеспечения правовых условий формирования общественно-деловой и коммерческой застройки при перспективном градостроительном развитии. При необходимости осуществляется зонирование таких территорий, и вносятся изменения в </w:t>
      </w:r>
      <w:r w:rsidRPr="00DB6AC9">
        <w:rPr>
          <w:i/>
          <w:iCs/>
          <w:color w:val="000000"/>
          <w:sz w:val="24"/>
          <w:szCs w:val="24"/>
        </w:rPr>
        <w:t>соответствии с порядком, предусмотренных главой 8 настоящих Правил.</w:t>
      </w:r>
    </w:p>
    <w:p w:rsidR="00DB6AC9" w:rsidRPr="00DB6AC9" w:rsidRDefault="00DB6AC9" w:rsidP="00DB6AC9">
      <w:pPr>
        <w:widowControl w:val="0"/>
        <w:spacing w:before="60"/>
        <w:rPr>
          <w:rFonts w:ascii="Times New Roman" w:hAnsi="Times New Roman" w:cs="Times New Roman"/>
          <w:b/>
          <w:bCs/>
          <w:sz w:val="24"/>
          <w:szCs w:val="24"/>
        </w:rPr>
      </w:pPr>
      <w:r w:rsidRPr="00DB6AC9">
        <w:rPr>
          <w:rFonts w:ascii="Times New Roman" w:hAnsi="Times New Roman" w:cs="Times New Roman"/>
          <w:b/>
          <w:bCs/>
          <w:sz w:val="24"/>
          <w:szCs w:val="24"/>
        </w:rPr>
        <w:t>Основные виды разрешенного использования недвижимости объектов капитального строительства и земельных участков: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административные организации областного, районного, общепоселенческого и местного значения;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 xml:space="preserve">офисы, конторы различных организаций, фирм, компаний общей площадью не более </w:t>
      </w:r>
      <w:smartTag w:uri="urn:schemas-microsoft-com:office:smarttags" w:element="metricconverter">
        <w:smartTagPr>
          <w:attr w:name="ProductID" w:val="600 м2"/>
        </w:smartTagPr>
        <w:r w:rsidRPr="00DB6AC9">
          <w:rPr>
            <w:rFonts w:ascii="Times New Roman" w:hAnsi="Times New Roman" w:cs="Times New Roman"/>
            <w:sz w:val="24"/>
            <w:szCs w:val="24"/>
          </w:rPr>
          <w:t>600 м</w:t>
        </w:r>
        <w:r w:rsidRPr="00DB6AC9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r w:rsidRPr="00DB6AC9">
        <w:rPr>
          <w:rFonts w:ascii="Times New Roman" w:hAnsi="Times New Roman" w:cs="Times New Roman"/>
          <w:sz w:val="24"/>
          <w:szCs w:val="24"/>
        </w:rPr>
        <w:t>, только со второго этажа, первые этажи под коммерческое обслуживание;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административные здания, офисы, конторы различных организаций, фирм, компаний;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издательства и редакционные офисы;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компьютерные центры;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рекламные агентства;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суды, нотариальные конторы, другие юридические учреждения;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отделения, участковые пункты милиции;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банки и отделения банков, другие финансовые учреждения;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торговые центры;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промышленные предприятия и коммунально-складские объекты V класса вредности (уже существующие при условии соблюдения СЗЗ);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магазины без ограничения профиля и ассортимента, в том числе, магазины товаров первой необходимости;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предприятия общественного питания (столовые, кафе, закусочные, бары, рестораны);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киоски, лоточная торговля, временные павильоны розничной торговли и обслуживания населения, мастерские по изготовлению мелких поделок по индивидуальным заказам;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пошивочные ателье, ремонтные мастерские бытовой техники, парикмахерские и иные подобные объекты обслуживания;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телевизионные и радиостудии;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почтовые отделения, телефонные и телеграфные станции;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клубы (залы встреч и собраний) многоцелевого и специализированного назначения;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библиотеки, архивы, информационные центры;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музеи, выставочные залы;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танцзалы, дискотеки;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кинотеатры, видеосалоны;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пункты первой медицинской помощи;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жилые единицы (уже существующие);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общежития, гостиницы, дома приема гостей, центры обслуживания туристов;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 xml:space="preserve">общественные туалеты на участках не менее </w:t>
      </w:r>
      <w:smartTag w:uri="urn:schemas-microsoft-com:office:smarttags" w:element="metricconverter">
        <w:smartTagPr>
          <w:attr w:name="ProductID" w:val="20 м2"/>
        </w:smartTagPr>
        <w:r w:rsidRPr="00DB6AC9">
          <w:rPr>
            <w:rFonts w:ascii="Times New Roman" w:hAnsi="Times New Roman" w:cs="Times New Roman"/>
            <w:sz w:val="24"/>
            <w:szCs w:val="24"/>
          </w:rPr>
          <w:t>20 м</w:t>
        </w:r>
        <w:r w:rsidRPr="00DB6AC9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r w:rsidRPr="00DB6AC9">
        <w:rPr>
          <w:rFonts w:ascii="Times New Roman" w:hAnsi="Times New Roman" w:cs="Times New Roman"/>
          <w:sz w:val="24"/>
          <w:szCs w:val="24"/>
        </w:rPr>
        <w:t>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индивидуальное обслуживание клиентов.</w:t>
      </w:r>
    </w:p>
    <w:p w:rsidR="00DB6AC9" w:rsidRPr="00DB6AC9" w:rsidRDefault="00DB6AC9" w:rsidP="00DB6AC9">
      <w:pPr>
        <w:widowControl w:val="0"/>
        <w:spacing w:before="60"/>
        <w:rPr>
          <w:rFonts w:ascii="Times New Roman" w:hAnsi="Times New Roman" w:cs="Times New Roman"/>
          <w:b/>
          <w:bCs/>
          <w:sz w:val="24"/>
          <w:szCs w:val="24"/>
        </w:rPr>
      </w:pPr>
      <w:r w:rsidRPr="00DB6AC9">
        <w:rPr>
          <w:rFonts w:ascii="Times New Roman" w:hAnsi="Times New Roman" w:cs="Times New Roman"/>
          <w:b/>
          <w:bCs/>
          <w:sz w:val="24"/>
          <w:szCs w:val="24"/>
        </w:rPr>
        <w:t>Условно разрешенные виды использования объектов капитального строительства и земельных участков: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 xml:space="preserve">офисы, конторы различных организаций, фирм, компаний общей площадью более </w:t>
      </w:r>
      <w:smartTag w:uri="urn:schemas-microsoft-com:office:smarttags" w:element="metricconverter">
        <w:smartTagPr>
          <w:attr w:name="ProductID" w:val="600 м2"/>
        </w:smartTagPr>
        <w:r w:rsidRPr="00DB6AC9">
          <w:rPr>
            <w:rFonts w:ascii="Times New Roman" w:hAnsi="Times New Roman" w:cs="Times New Roman"/>
            <w:sz w:val="24"/>
            <w:szCs w:val="24"/>
          </w:rPr>
          <w:t>600 м</w:t>
        </w:r>
        <w:r w:rsidRPr="00DB6AC9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r w:rsidRPr="00DB6AC9">
        <w:rPr>
          <w:rFonts w:ascii="Times New Roman" w:hAnsi="Times New Roman" w:cs="Times New Roman"/>
          <w:sz w:val="24"/>
          <w:szCs w:val="24"/>
        </w:rPr>
        <w:t>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ночлежные дома;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станции скорой помощи;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объекты пожарной охраны;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дирекции единого заказчика, ремонтно-эксплуатационные участки и аварийно-диспетчерские службы;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площадки для мусороконтейнеров и габаритного мусора на отдельном земельном участке;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надземные автостоянки на отдельных земельных участках;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антенны сотовой, радиорелейной и спутниковой связи.</w:t>
      </w:r>
    </w:p>
    <w:p w:rsidR="00DB6AC9" w:rsidRPr="00DB6AC9" w:rsidRDefault="00DB6AC9" w:rsidP="00DB6AC9">
      <w:pPr>
        <w:autoSpaceDE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B6AC9">
        <w:rPr>
          <w:rFonts w:ascii="Times New Roman" w:hAnsi="Times New Roman" w:cs="Times New Roman"/>
          <w:b/>
          <w:bCs/>
          <w:iCs/>
          <w:sz w:val="24"/>
          <w:szCs w:val="24"/>
        </w:rPr>
        <w:t>Вспомогательные виды разрешенного использования</w:t>
      </w:r>
      <w:r w:rsidRPr="00DB6AC9">
        <w:rPr>
          <w:rFonts w:ascii="Times New Roman" w:hAnsi="Times New Roman" w:cs="Times New Roman"/>
          <w:b/>
          <w:sz w:val="24"/>
          <w:szCs w:val="24"/>
        </w:rPr>
        <w:t xml:space="preserve"> объектов капитального строительства и земельных участков</w:t>
      </w:r>
      <w:r w:rsidRPr="00DB6AC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lastRenderedPageBreak/>
        <w:t>парковки перед объектами деловых, культурных, обслуживающих и коммерческих видов использования;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подземные и встроенные в здания гаражи и автостоянки;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площадки для мусороконтейнеров и габаритного мусора;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прозрачное ограждение земельного участка;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зеленые насаждения;</w:t>
      </w:r>
    </w:p>
    <w:p w:rsidR="00DB6AC9" w:rsidRPr="00DB6AC9" w:rsidRDefault="00DB6AC9" w:rsidP="00DB6AC9">
      <w:pPr>
        <w:numPr>
          <w:ilvl w:val="0"/>
          <w:numId w:val="4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AC9">
        <w:rPr>
          <w:rFonts w:ascii="Times New Roman" w:hAnsi="Times New Roman" w:cs="Times New Roman"/>
          <w:sz w:val="24"/>
          <w:szCs w:val="24"/>
        </w:rPr>
        <w:t>скульптура и скульптурные композиции, фонтаны и другие объекты ландшафтного дизайна.</w:t>
      </w:r>
    </w:p>
    <w:p w:rsidR="00DB6AC9" w:rsidRPr="00DB6AC9" w:rsidRDefault="00DB6AC9" w:rsidP="00DB6AC9">
      <w:pPr>
        <w:suppressAutoHyphens/>
        <w:autoSpaceDE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6AC9">
        <w:rPr>
          <w:rFonts w:ascii="Times New Roman" w:hAnsi="Times New Roman" w:cs="Times New Roman"/>
          <w:b/>
          <w:sz w:val="24"/>
          <w:szCs w:val="24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34"/>
        <w:gridCol w:w="7113"/>
      </w:tblGrid>
      <w:tr w:rsidR="00DB6AC9" w:rsidRPr="001954F9" w:rsidTr="00DB6AC9">
        <w:tc>
          <w:tcPr>
            <w:tcW w:w="2634" w:type="dxa"/>
          </w:tcPr>
          <w:p w:rsidR="00DB6AC9" w:rsidRPr="00103DDB" w:rsidRDefault="00DB6AC9" w:rsidP="00A93815">
            <w:pPr>
              <w:pStyle w:val="7"/>
              <w:rPr>
                <w:b/>
              </w:rPr>
            </w:pPr>
            <w:r w:rsidRPr="00103DDB">
              <w:rPr>
                <w:b/>
              </w:rPr>
              <w:t>Вид использования</w:t>
            </w:r>
          </w:p>
        </w:tc>
        <w:tc>
          <w:tcPr>
            <w:tcW w:w="7113" w:type="dxa"/>
          </w:tcPr>
          <w:p w:rsidR="00DB6AC9" w:rsidRPr="00103DDB" w:rsidRDefault="00DB6AC9" w:rsidP="00A93815">
            <w:pPr>
              <w:pStyle w:val="7"/>
              <w:rPr>
                <w:b/>
              </w:rPr>
            </w:pPr>
            <w:r w:rsidRPr="00103DDB">
              <w:rPr>
                <w:b/>
              </w:rPr>
              <w:t>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DB6AC9" w:rsidRPr="001954F9" w:rsidTr="00DB6AC9">
        <w:trPr>
          <w:trHeight w:val="1518"/>
        </w:trPr>
        <w:tc>
          <w:tcPr>
            <w:tcW w:w="2634" w:type="dxa"/>
          </w:tcPr>
          <w:p w:rsidR="00DB6AC9" w:rsidRPr="00CB0857" w:rsidRDefault="00DB6AC9" w:rsidP="00A93815">
            <w:pPr>
              <w:pStyle w:val="7"/>
            </w:pPr>
            <w:r w:rsidRPr="00CB0857">
              <w:rPr>
                <w:b/>
              </w:rPr>
              <w:t>Социальное обслуживание</w:t>
            </w:r>
            <w:r w:rsidRPr="00CB0857">
              <w:t xml:space="preserve"> </w:t>
            </w:r>
            <w:r w:rsidRPr="00CB0857">
              <w:rPr>
                <w:b/>
              </w:rPr>
              <w:t>3.2:</w:t>
            </w:r>
            <w:r w:rsidRPr="00CB0857">
              <w:t xml:space="preserve"> (административные организации, почтовые отделения, индивидуальное обслуживание клиентов и т.п.)</w:t>
            </w:r>
          </w:p>
        </w:tc>
        <w:tc>
          <w:tcPr>
            <w:tcW w:w="7113" w:type="dxa"/>
          </w:tcPr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6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земельного участка- от 50 до 10000 кв.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6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ширина земельного участка – от 5 до 1000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6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длина земельного участка – от 10 до 1000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2.Минимальные отступы от границ земельных участков - 1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3.Предельное количество этажей – 1 этаж.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60 %.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5.Иные показатели - объекты, размещаемые в территориальной зоне, должны соответствовать основным видам разрешенного использования на 75% площади территории. До 25% территории допускается использовать для размещения объектов, назначение которых определено настоящими Правилами в качестве вспомогательных.</w:t>
            </w:r>
          </w:p>
        </w:tc>
      </w:tr>
      <w:tr w:rsidR="00DB6AC9" w:rsidRPr="000F52CB" w:rsidTr="00DB6AC9">
        <w:trPr>
          <w:trHeight w:val="420"/>
        </w:trPr>
        <w:tc>
          <w:tcPr>
            <w:tcW w:w="2634" w:type="dxa"/>
          </w:tcPr>
          <w:p w:rsidR="00DB6AC9" w:rsidRPr="00CB0857" w:rsidRDefault="00DB6AC9" w:rsidP="00A93815">
            <w:pPr>
              <w:pStyle w:val="7"/>
            </w:pPr>
            <w:r w:rsidRPr="00CB0857">
              <w:rPr>
                <w:b/>
              </w:rPr>
              <w:t>Магазины, торговые павильоны 4.4:</w:t>
            </w:r>
            <w:r w:rsidRPr="00CB0857">
              <w:t xml:space="preserve"> (киоски, лоточная торговля и т.п.)</w:t>
            </w:r>
          </w:p>
        </w:tc>
        <w:tc>
          <w:tcPr>
            <w:tcW w:w="7113" w:type="dxa"/>
          </w:tcPr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земельного участка- от 5 до 2000 кв.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ширина земельного участка – от 5 до 400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длина земельного участка – от 5 до 400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2.Минимальные отступы от границ земельных участков - 1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3.Предельное количество этажей – 2 этажа.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70 %.</w:t>
            </w:r>
          </w:p>
          <w:p w:rsidR="00DB6AC9" w:rsidRPr="00CB0857" w:rsidRDefault="00DB6AC9" w:rsidP="00DB6AC9">
            <w:pPr>
              <w:pStyle w:val="a3"/>
              <w:widowControl w:val="0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5.Иные показатели - максимальная высота оград – 1м в легких конструкциях.</w:t>
            </w:r>
          </w:p>
        </w:tc>
      </w:tr>
      <w:tr w:rsidR="00DB6AC9" w:rsidRPr="001954F9" w:rsidTr="00DB6AC9">
        <w:trPr>
          <w:trHeight w:val="179"/>
        </w:trPr>
        <w:tc>
          <w:tcPr>
            <w:tcW w:w="2634" w:type="dxa"/>
          </w:tcPr>
          <w:p w:rsidR="00DB6AC9" w:rsidRPr="00CB0857" w:rsidRDefault="00DB6AC9" w:rsidP="00A93815">
            <w:pPr>
              <w:pStyle w:val="7"/>
            </w:pPr>
            <w:r w:rsidRPr="00CB0857">
              <w:rPr>
                <w:b/>
              </w:rPr>
              <w:t xml:space="preserve">Гостиничное обслуживание 4.7: </w:t>
            </w:r>
            <w:r w:rsidRPr="00CB0857">
              <w:t>(общежития, дома приёма гостей и т.п.)</w:t>
            </w:r>
          </w:p>
        </w:tc>
        <w:tc>
          <w:tcPr>
            <w:tcW w:w="7113" w:type="dxa"/>
          </w:tcPr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7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земельного участка- из расчета 60 кв. м. на 1 место до 6000 кв. м.;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7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ширина земельного участка – от 5 до 1200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7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длина земельного участка – от 5 до 1200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2.Минимальные отступы от границ земельных участков - 1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3.Предельное количество этажей – 3 этажа.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70 %.</w:t>
            </w:r>
          </w:p>
        </w:tc>
      </w:tr>
      <w:tr w:rsidR="00DB6AC9" w:rsidRPr="001954F9" w:rsidTr="00DB6AC9">
        <w:tc>
          <w:tcPr>
            <w:tcW w:w="2634" w:type="dxa"/>
          </w:tcPr>
          <w:p w:rsidR="00DB6AC9" w:rsidRPr="00CB0857" w:rsidRDefault="00DB6AC9" w:rsidP="00A93815">
            <w:pPr>
              <w:pStyle w:val="7"/>
              <w:rPr>
                <w:b/>
              </w:rPr>
            </w:pPr>
            <w:r w:rsidRPr="00CB0857">
              <w:rPr>
                <w:b/>
              </w:rPr>
              <w:t>Развлечения 4.8:</w:t>
            </w:r>
          </w:p>
          <w:p w:rsidR="00DB6AC9" w:rsidRPr="00CB0857" w:rsidRDefault="00DB6AC9" w:rsidP="00A93815">
            <w:pPr>
              <w:pStyle w:val="7"/>
            </w:pPr>
            <w:r w:rsidRPr="00CB0857">
              <w:lastRenderedPageBreak/>
              <w:t>(компьютерные центры, кинотеатры, видеосалоны, клубы и т.п.)</w:t>
            </w:r>
          </w:p>
        </w:tc>
        <w:tc>
          <w:tcPr>
            <w:tcW w:w="7113" w:type="dxa"/>
          </w:tcPr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1.Предельные (минимальные и (или) максимальные) размеры земельных участков: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площадь земельного участка- от 50 до 1000 кв.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ширина земельного участка – от 5 до 100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длина земельного участка – от 10 до 100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2.Минимальные отступы от границ земельных участков - 1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3.Предельное количество этажей –1 этаж.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60 %.</w:t>
            </w:r>
          </w:p>
        </w:tc>
      </w:tr>
      <w:tr w:rsidR="00DB6AC9" w:rsidRPr="001954F9" w:rsidTr="00DB6AC9">
        <w:trPr>
          <w:trHeight w:val="3015"/>
        </w:trPr>
        <w:tc>
          <w:tcPr>
            <w:tcW w:w="2634" w:type="dxa"/>
          </w:tcPr>
          <w:p w:rsidR="00DB6AC9" w:rsidRPr="00CB0857" w:rsidRDefault="00DB6AC9" w:rsidP="00A93815">
            <w:pPr>
              <w:pStyle w:val="7"/>
              <w:rPr>
                <w:b/>
              </w:rPr>
            </w:pPr>
            <w:r w:rsidRPr="00CB0857">
              <w:rPr>
                <w:b/>
              </w:rPr>
              <w:lastRenderedPageBreak/>
              <w:t>Культурное развитие 3.6:</w:t>
            </w:r>
          </w:p>
          <w:p w:rsidR="00DB6AC9" w:rsidRPr="00CB0857" w:rsidRDefault="00DB6AC9" w:rsidP="00A93815">
            <w:pPr>
              <w:pStyle w:val="7"/>
            </w:pPr>
            <w:r w:rsidRPr="00CB0857">
              <w:t>(музеи, выставочные залы, библиотеки и т.п.)</w:t>
            </w:r>
          </w:p>
        </w:tc>
        <w:tc>
          <w:tcPr>
            <w:tcW w:w="7113" w:type="dxa"/>
          </w:tcPr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9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земельного участка- от 50 до 5000 кв.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9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ширина земельного участка – от 5 до 500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9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длинна земельного участка – от 10 до 500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2.Минимальные отступы от границ земельных участков - 1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3.Предельное количество этажей –1 этаж.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60 %.</w:t>
            </w:r>
          </w:p>
        </w:tc>
      </w:tr>
      <w:tr w:rsidR="00DB6AC9" w:rsidRPr="001954F9" w:rsidTr="00DB6AC9">
        <w:tc>
          <w:tcPr>
            <w:tcW w:w="2634" w:type="dxa"/>
          </w:tcPr>
          <w:p w:rsidR="00DB6AC9" w:rsidRPr="00CB0857" w:rsidRDefault="00DB6AC9" w:rsidP="00A93815">
            <w:pPr>
              <w:pStyle w:val="7"/>
              <w:rPr>
                <w:b/>
              </w:rPr>
            </w:pPr>
            <w:r w:rsidRPr="00CB0857">
              <w:rPr>
                <w:b/>
              </w:rPr>
              <w:t>Общественное, деловое управление 3.8; 3.9:</w:t>
            </w:r>
          </w:p>
          <w:p w:rsidR="00DB6AC9" w:rsidRPr="00CB0857" w:rsidRDefault="00DB6AC9" w:rsidP="00A93815">
            <w:pPr>
              <w:pStyle w:val="7"/>
            </w:pPr>
            <w:r w:rsidRPr="00CB0857">
              <w:t>(административные здания, конторы различных организации, редакционные офисы и т.п.)</w:t>
            </w:r>
          </w:p>
        </w:tc>
        <w:tc>
          <w:tcPr>
            <w:tcW w:w="7113" w:type="dxa"/>
            <w:vMerge w:val="restart"/>
          </w:tcPr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0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земельного участка- от 50 до 5000 кв.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0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ширина земельного участка – от 5 до 500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0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длина земельного участка – от 10 до 500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2.Минимальные отступы от границ земельных участков - 1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3.Предельное количество этажей – 3 этажа.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70 %.</w:t>
            </w:r>
          </w:p>
        </w:tc>
      </w:tr>
      <w:tr w:rsidR="00DB6AC9" w:rsidRPr="001954F9" w:rsidTr="00DB6AC9">
        <w:trPr>
          <w:trHeight w:val="312"/>
        </w:trPr>
        <w:tc>
          <w:tcPr>
            <w:tcW w:w="2634" w:type="dxa"/>
          </w:tcPr>
          <w:p w:rsidR="00DB6AC9" w:rsidRPr="00CB0857" w:rsidRDefault="00DB6AC9" w:rsidP="00A93815">
            <w:pPr>
              <w:pStyle w:val="7"/>
              <w:rPr>
                <w:b/>
              </w:rPr>
            </w:pPr>
            <w:r w:rsidRPr="00CB0857">
              <w:rPr>
                <w:b/>
              </w:rPr>
              <w:t>Банковская и страховая деятельность 4.5</w:t>
            </w:r>
          </w:p>
        </w:tc>
        <w:tc>
          <w:tcPr>
            <w:tcW w:w="7113" w:type="dxa"/>
            <w:vMerge/>
          </w:tcPr>
          <w:p w:rsidR="00DB6AC9" w:rsidRPr="00CB0857" w:rsidRDefault="00DB6AC9" w:rsidP="00A93815">
            <w:pPr>
              <w:pStyle w:val="ConsNormal"/>
              <w:widowControl/>
              <w:shd w:val="clear" w:color="auto" w:fill="000080"/>
              <w:ind w:firstLine="37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6AC9" w:rsidRPr="001954F9" w:rsidTr="00DB6AC9">
        <w:tc>
          <w:tcPr>
            <w:tcW w:w="2634" w:type="dxa"/>
          </w:tcPr>
          <w:p w:rsidR="00DB6AC9" w:rsidRPr="00CB0857" w:rsidRDefault="00DB6AC9" w:rsidP="00A93815">
            <w:pPr>
              <w:pStyle w:val="7"/>
              <w:rPr>
                <w:b/>
              </w:rPr>
            </w:pPr>
            <w:r w:rsidRPr="00CB0857">
              <w:rPr>
                <w:b/>
              </w:rPr>
              <w:t>Бытовое обслуживание 3.3:</w:t>
            </w:r>
          </w:p>
          <w:p w:rsidR="00DB6AC9" w:rsidRPr="00CB0857" w:rsidRDefault="00DB6AC9" w:rsidP="00A93815">
            <w:pPr>
              <w:pStyle w:val="7"/>
              <w:rPr>
                <w:b/>
              </w:rPr>
            </w:pPr>
            <w:r w:rsidRPr="00CB0857">
              <w:t>(ателье, парикмахерские и т.п.)</w:t>
            </w:r>
          </w:p>
        </w:tc>
        <w:tc>
          <w:tcPr>
            <w:tcW w:w="7113" w:type="dxa"/>
          </w:tcPr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земельного участка- от 50 до 10000 кв.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ширина земельного участка – от 5 до 500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5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длина земельного участка – от 10 до 500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2.Минимальные отступы от границ земельных участков - 1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3.Предельное количество этажей – 1 этаж.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60 %.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 w:cs="Tahoma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5.Иные показатели - объекты, размещаемые в территориальной зоне, должны соответствовать основным видам разрешенного использования на 75% площади территории. До 25% территории допускается использовать для размещения объектов, назначение которых определено настоящими Правилами в качестве вспомогательных.</w:t>
            </w:r>
          </w:p>
        </w:tc>
      </w:tr>
      <w:tr w:rsidR="00DB6AC9" w:rsidRPr="001954F9" w:rsidTr="00DB6AC9">
        <w:tc>
          <w:tcPr>
            <w:tcW w:w="2634" w:type="dxa"/>
          </w:tcPr>
          <w:p w:rsidR="00DB6AC9" w:rsidRPr="00CB0857" w:rsidRDefault="00DB6AC9" w:rsidP="00A93815">
            <w:pPr>
              <w:pStyle w:val="7"/>
              <w:rPr>
                <w:b/>
              </w:rPr>
            </w:pPr>
            <w:r w:rsidRPr="00CB0857">
              <w:rPr>
                <w:b/>
              </w:rPr>
              <w:t>Обслуживание автотранспорта 4.9:</w:t>
            </w:r>
          </w:p>
          <w:p w:rsidR="00DB6AC9" w:rsidRPr="00CB0857" w:rsidRDefault="00DB6AC9" w:rsidP="00A93815">
            <w:pPr>
              <w:pStyle w:val="7"/>
            </w:pPr>
            <w:r w:rsidRPr="00CB0857">
              <w:t>(гаражи и автостоянки, парковки и т.п.)</w:t>
            </w:r>
          </w:p>
        </w:tc>
        <w:tc>
          <w:tcPr>
            <w:tcW w:w="7113" w:type="dxa"/>
          </w:tcPr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земельного участка- от 15 до 1000 кв.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ширина земельного участка – от 3 до 100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длинна земельного участка – от 5 до 100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2.Минимальные отступы от границ земельных участков - 1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3.Предельное количество этажей – 2 этажа.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60 %.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5.Иные показатели - вместимость – до 300 машиномест.</w:t>
            </w:r>
          </w:p>
        </w:tc>
      </w:tr>
      <w:tr w:rsidR="00DB6AC9" w:rsidRPr="001954F9" w:rsidTr="00DB6AC9">
        <w:tc>
          <w:tcPr>
            <w:tcW w:w="2634" w:type="dxa"/>
          </w:tcPr>
          <w:p w:rsidR="00DB6AC9" w:rsidRPr="00CB0857" w:rsidRDefault="00DB6AC9" w:rsidP="00A93815">
            <w:pPr>
              <w:pStyle w:val="7"/>
            </w:pPr>
            <w:r w:rsidRPr="00CB0857">
              <w:rPr>
                <w:b/>
              </w:rPr>
              <w:lastRenderedPageBreak/>
              <w:t>Общественное питание 4.6:</w:t>
            </w:r>
            <w:r w:rsidRPr="00CB0857">
              <w:t xml:space="preserve"> (столовые, кафе, бары и т.п.)</w:t>
            </w:r>
          </w:p>
        </w:tc>
        <w:tc>
          <w:tcPr>
            <w:tcW w:w="7113" w:type="dxa"/>
          </w:tcPr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1.Предельные (минимальные и (или) максимальные) размеры земельных участков: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4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земельного участка – от 15 до 20000 кв.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4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ширина земельного участка – от 3 до 100 м;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4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длинна земельного участка – от 5 до 100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2.Минимальные отступы от границ земельных участков - 1 м.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3.Предельное количество этажей – 3 этажа.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4.Максимальный процент застройки в границах земельного участка – 70 %.</w:t>
            </w:r>
          </w:p>
          <w:p w:rsidR="00DB6AC9" w:rsidRPr="00CB0857" w:rsidRDefault="00DB6AC9" w:rsidP="00DB6AC9">
            <w:pPr>
              <w:pStyle w:val="ConsNormal"/>
              <w:widowControl/>
              <w:numPr>
                <w:ilvl w:val="0"/>
                <w:numId w:val="11"/>
              </w:numPr>
              <w:autoSpaceDE w:val="0"/>
              <w:autoSpaceDN w:val="0"/>
              <w:adjustRightInd w:val="0"/>
              <w:snapToGrid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0857">
              <w:rPr>
                <w:rFonts w:ascii="Times New Roman" w:hAnsi="Times New Roman"/>
                <w:color w:val="000000"/>
                <w:sz w:val="24"/>
                <w:szCs w:val="24"/>
              </w:rPr>
              <w:t>5.Иные показатели - объекты, размещаемые в территориальной зоне, должны соответствовать основным видам разрешенного использования на 75% площади территории. До 25% территории допускается использовать для размещения объектов, назначение которых определено настоящими Правилами в качестве вспомогательных.</w:t>
            </w:r>
          </w:p>
        </w:tc>
      </w:tr>
      <w:tr w:rsidR="00DB6AC9" w:rsidRPr="001954F9" w:rsidTr="00DB6AC9">
        <w:tc>
          <w:tcPr>
            <w:tcW w:w="2634" w:type="dxa"/>
          </w:tcPr>
          <w:p w:rsidR="00DB6AC9" w:rsidRPr="00CB0857" w:rsidRDefault="00DB6AC9" w:rsidP="00A93815">
            <w:pPr>
              <w:pStyle w:val="7"/>
            </w:pPr>
            <w:r w:rsidRPr="00CB0857">
              <w:rPr>
                <w:b/>
              </w:rPr>
              <w:t>Коммунальное обслуживание 3.1:</w:t>
            </w:r>
            <w:r w:rsidRPr="00CB0857">
              <w:t xml:space="preserve"> (поставка воды, тепла, отвод канализационных стоков и т.п.)</w:t>
            </w:r>
          </w:p>
        </w:tc>
        <w:tc>
          <w:tcPr>
            <w:tcW w:w="7113" w:type="dxa"/>
          </w:tcPr>
          <w:p w:rsidR="00DB6AC9" w:rsidRPr="00CB0857" w:rsidRDefault="00DB6AC9" w:rsidP="00A93815">
            <w:pPr>
              <w:pStyle w:val="7"/>
              <w:rPr>
                <w:color w:val="000000"/>
              </w:rPr>
            </w:pPr>
            <w:r w:rsidRPr="00CB0857">
              <w:rPr>
                <w:color w:val="000000"/>
              </w:rPr>
              <w:t>Не подлежат установлению.</w:t>
            </w:r>
          </w:p>
          <w:p w:rsidR="00DB6AC9" w:rsidRPr="00CB0857" w:rsidRDefault="00DB6AC9" w:rsidP="00A93815">
            <w:pPr>
              <w:pStyle w:val="7"/>
            </w:pPr>
            <w:r w:rsidRPr="00CB0857">
              <w:rPr>
                <w:color w:val="000000"/>
              </w:rPr>
              <w:t>Площадь земельных участков принимать при проектировании объектов в соответствии с требованиями к размещению таких объектов в зоне объектов культуры и искусства СНиП, технических регламентов, СанПиН, и др. документов.</w:t>
            </w:r>
          </w:p>
        </w:tc>
      </w:tr>
    </w:tbl>
    <w:p w:rsidR="00DB6AC9" w:rsidRPr="00DB6AC9" w:rsidRDefault="00DB6AC9" w:rsidP="00DB6AC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/>
          <w:lang w:eastAsia="ar-SA"/>
        </w:rPr>
      </w:pPr>
      <w:r w:rsidRPr="00DB6AC9">
        <w:rPr>
          <w:rFonts w:ascii="Times New Roman" w:hAnsi="Times New Roman" w:cs="Times New Roman"/>
          <w:b/>
          <w:color w:val="000000"/>
          <w:lang w:eastAsia="ar-SA"/>
        </w:rPr>
        <w:t>Ограничения</w:t>
      </w:r>
      <w:r w:rsidRPr="00DB6AC9">
        <w:rPr>
          <w:rFonts w:ascii="Times New Roman" w:hAnsi="Times New Roman" w:cs="Times New Roman"/>
          <w:color w:val="000000"/>
          <w:lang w:eastAsia="ar-SA"/>
        </w:rPr>
        <w:t xml:space="preserve"> использования земельных участков и объектов капитального строительства, виды разрешённого использования, предельные размеры и предельные параметры разрешенного строительства, реконструкции которых соответствуют градостроительному регламенту данной территориальной зоны, устанавливаются в соответствии с законами и иными правовыми актами Российской Федерации, Саратовской области,</w:t>
      </w:r>
      <w:r w:rsidRPr="00DB6AC9">
        <w:rPr>
          <w:rFonts w:ascii="Times New Roman" w:hAnsi="Times New Roman" w:cs="Times New Roman"/>
          <w:color w:val="000000"/>
        </w:rPr>
        <w:t xml:space="preserve"> </w:t>
      </w:r>
      <w:r w:rsidRPr="00DB6AC9">
        <w:rPr>
          <w:rFonts w:ascii="Times New Roman" w:hAnsi="Times New Roman" w:cs="Times New Roman"/>
          <w:color w:val="000000"/>
          <w:lang w:eastAsia="ar-SA"/>
        </w:rPr>
        <w:t>техническими регламентами,  муниципальными правовыми актами органов местного самоуправления об установлении публичных сервитутов, соглашениями между собственниками  земельных участков (объектов капитального строительства) об установлении сервитутов.</w:t>
      </w:r>
    </w:p>
    <w:p w:rsidR="009656F3" w:rsidRPr="009656F3" w:rsidRDefault="009656F3" w:rsidP="00DB6AC9">
      <w:pPr>
        <w:pStyle w:val="a6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656F3">
        <w:rPr>
          <w:rFonts w:ascii="Times New Roman" w:hAnsi="Times New Roman" w:cs="Times New Roman"/>
          <w:sz w:val="24"/>
          <w:szCs w:val="24"/>
        </w:rPr>
        <w:t>2. Контроль  исполнения  настоящего решения возложить на секретаря Собрания Базарно-Карабулакского муниципального района Н.А. Крупнову.</w:t>
      </w:r>
    </w:p>
    <w:p w:rsidR="00B362CC" w:rsidRPr="00946100" w:rsidRDefault="009656F3" w:rsidP="00B362C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</w:pPr>
      <w:r w:rsidRPr="009656F3">
        <w:rPr>
          <w:rFonts w:ascii="Times New Roman" w:hAnsi="Times New Roman" w:cs="Times New Roman"/>
          <w:sz w:val="24"/>
          <w:szCs w:val="24"/>
        </w:rPr>
        <w:t xml:space="preserve">3. </w:t>
      </w:r>
      <w:r w:rsidR="00B362CC" w:rsidRPr="00946100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 xml:space="preserve">Настоящее </w:t>
      </w:r>
      <w:r w:rsidR="00B362CC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>решение</w:t>
      </w:r>
      <w:r w:rsidR="00B362CC" w:rsidRPr="00946100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 xml:space="preserve"> вступает в силу со дня его официального  опубликования на официальном сайте администрации Базарно-Карабулакского муниципального района в сети Интернет</w:t>
      </w:r>
      <w:r w:rsidR="00B362CC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 xml:space="preserve"> </w:t>
      </w:r>
      <w:hyperlink r:id="rId9" w:history="1">
        <w:r w:rsidR="00B362CC" w:rsidRPr="00EE51FC">
          <w:rPr>
            <w:rStyle w:val="af"/>
            <w:rFonts w:ascii="Times New Roman" w:eastAsia="Times New Roman" w:hAnsi="Times New Roman"/>
            <w:spacing w:val="2"/>
            <w:sz w:val="24"/>
            <w:szCs w:val="24"/>
            <w:lang w:eastAsia="ru-RU"/>
          </w:rPr>
          <w:t>https://admbk.ru/</w:t>
        </w:r>
      </w:hyperlink>
      <w:r w:rsidR="00B362CC" w:rsidRPr="00946100">
        <w:rPr>
          <w:rFonts w:ascii="Times New Roman" w:eastAsia="Times New Roman" w:hAnsi="Times New Roman"/>
          <w:color w:val="2D2D2D"/>
          <w:spacing w:val="2"/>
          <w:sz w:val="24"/>
          <w:szCs w:val="24"/>
          <w:lang w:eastAsia="ru-RU"/>
        </w:rPr>
        <w:t xml:space="preserve"> </w:t>
      </w:r>
    </w:p>
    <w:p w:rsidR="009656F3" w:rsidRDefault="009656F3" w:rsidP="00B362CC">
      <w:pPr>
        <w:pStyle w:val="a6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F630B" w:rsidRPr="009656F3" w:rsidRDefault="000F630B" w:rsidP="009656F3">
      <w:pPr>
        <w:tabs>
          <w:tab w:val="left" w:pos="4395"/>
        </w:tabs>
        <w:spacing w:after="0" w:line="240" w:lineRule="auto"/>
        <w:ind w:right="-1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656F3" w:rsidRPr="009656F3" w:rsidRDefault="009656F3" w:rsidP="00FE5D5C">
      <w:pPr>
        <w:spacing w:after="120" w:line="240" w:lineRule="auto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9656F3">
        <w:rPr>
          <w:rFonts w:ascii="Times New Roman" w:hAnsi="Times New Roman" w:cs="Times New Roman"/>
          <w:b/>
          <w:sz w:val="24"/>
        </w:rPr>
        <w:t>Председатель Собрания                                                                                                             муниципального района                                                                                    Л.П. Комарова</w:t>
      </w:r>
    </w:p>
    <w:p w:rsidR="009656F3" w:rsidRDefault="009656F3" w:rsidP="009656F3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890384" w:rsidRPr="009656F3" w:rsidRDefault="009656F3" w:rsidP="00FE5D5C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9656F3">
        <w:rPr>
          <w:rFonts w:ascii="Times New Roman" w:hAnsi="Times New Roman" w:cs="Times New Roman"/>
          <w:b/>
          <w:sz w:val="24"/>
        </w:rPr>
        <w:t>Глава муниципального района                                                                        О.А. Чумбаев</w:t>
      </w:r>
    </w:p>
    <w:sectPr w:rsidR="00890384" w:rsidRPr="009656F3" w:rsidSect="00C661D8">
      <w:pgSz w:w="11906" w:h="16838"/>
      <w:pgMar w:top="568" w:right="566" w:bottom="142" w:left="1701" w:header="45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2158" w:rsidRDefault="00BE2158" w:rsidP="00D708D8">
      <w:pPr>
        <w:spacing w:after="0" w:line="240" w:lineRule="auto"/>
      </w:pPr>
      <w:r>
        <w:separator/>
      </w:r>
    </w:p>
  </w:endnote>
  <w:endnote w:type="continuationSeparator" w:id="1">
    <w:p w:rsidR="00BE2158" w:rsidRDefault="00BE2158" w:rsidP="00D70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2158" w:rsidRDefault="00BE2158" w:rsidP="00D708D8">
      <w:pPr>
        <w:spacing w:after="0" w:line="240" w:lineRule="auto"/>
      </w:pPr>
      <w:r>
        <w:separator/>
      </w:r>
    </w:p>
  </w:footnote>
  <w:footnote w:type="continuationSeparator" w:id="1">
    <w:p w:rsidR="00BE2158" w:rsidRDefault="00BE2158" w:rsidP="00D708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5423"/>
    <w:multiLevelType w:val="hybridMultilevel"/>
    <w:tmpl w:val="119610F2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175D50"/>
    <w:multiLevelType w:val="hybridMultilevel"/>
    <w:tmpl w:val="AF3E65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D368F"/>
    <w:multiLevelType w:val="hybridMultilevel"/>
    <w:tmpl w:val="8BC8E8FE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6823615"/>
    <w:multiLevelType w:val="hybridMultilevel"/>
    <w:tmpl w:val="33CA1336"/>
    <w:lvl w:ilvl="0" w:tplc="86980E4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5A0824"/>
    <w:multiLevelType w:val="hybridMultilevel"/>
    <w:tmpl w:val="DEC23AEA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5DD4841"/>
    <w:multiLevelType w:val="hybridMultilevel"/>
    <w:tmpl w:val="48EE36E6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AE719D5"/>
    <w:multiLevelType w:val="hybridMultilevel"/>
    <w:tmpl w:val="90768BE6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D65082A"/>
    <w:multiLevelType w:val="hybridMultilevel"/>
    <w:tmpl w:val="F63AAE3A"/>
    <w:lvl w:ilvl="0" w:tplc="770ED76C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FB12B97"/>
    <w:multiLevelType w:val="hybridMultilevel"/>
    <w:tmpl w:val="094890FC"/>
    <w:lvl w:ilvl="0" w:tplc="5E8481CE">
      <w:start w:val="1"/>
      <w:numFmt w:val="bullet"/>
      <w:lvlText w:val=""/>
      <w:lvlJc w:val="left"/>
      <w:pPr>
        <w:ind w:left="13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3" w:hanging="360"/>
      </w:pPr>
      <w:rPr>
        <w:rFonts w:ascii="Wingdings" w:hAnsi="Wingdings" w:hint="default"/>
      </w:rPr>
    </w:lvl>
  </w:abstractNum>
  <w:abstractNum w:abstractNumId="9">
    <w:nsid w:val="44ED78FE"/>
    <w:multiLevelType w:val="hybridMultilevel"/>
    <w:tmpl w:val="07F0FC50"/>
    <w:lvl w:ilvl="0" w:tplc="5108251A">
      <w:start w:val="1"/>
      <w:numFmt w:val="bullet"/>
      <w:lvlText w:val="−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1000377"/>
    <w:multiLevelType w:val="hybridMultilevel"/>
    <w:tmpl w:val="DA2A1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D6669C"/>
    <w:multiLevelType w:val="hybridMultilevel"/>
    <w:tmpl w:val="5860D6F6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4F14AFF"/>
    <w:multiLevelType w:val="hybridMultilevel"/>
    <w:tmpl w:val="CC28CF04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A4E0402"/>
    <w:multiLevelType w:val="hybridMultilevel"/>
    <w:tmpl w:val="DA78A5A8"/>
    <w:lvl w:ilvl="0" w:tplc="5E8481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CF466A1"/>
    <w:multiLevelType w:val="hybridMultilevel"/>
    <w:tmpl w:val="CBA4D5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7"/>
  </w:num>
  <w:num w:numId="4">
    <w:abstractNumId w:val="9"/>
  </w:num>
  <w:num w:numId="5">
    <w:abstractNumId w:val="1"/>
  </w:num>
  <w:num w:numId="6">
    <w:abstractNumId w:val="8"/>
  </w:num>
  <w:num w:numId="7">
    <w:abstractNumId w:val="12"/>
  </w:num>
  <w:num w:numId="8">
    <w:abstractNumId w:val="2"/>
  </w:num>
  <w:num w:numId="9">
    <w:abstractNumId w:val="4"/>
  </w:num>
  <w:num w:numId="10">
    <w:abstractNumId w:val="0"/>
  </w:num>
  <w:num w:numId="11">
    <w:abstractNumId w:val="14"/>
  </w:num>
  <w:num w:numId="12">
    <w:abstractNumId w:val="5"/>
  </w:num>
  <w:num w:numId="13">
    <w:abstractNumId w:val="6"/>
  </w:num>
  <w:num w:numId="14">
    <w:abstractNumId w:val="13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63F4"/>
    <w:rsid w:val="00001E80"/>
    <w:rsid w:val="00060B02"/>
    <w:rsid w:val="000F630B"/>
    <w:rsid w:val="00106033"/>
    <w:rsid w:val="0012429E"/>
    <w:rsid w:val="00144FB3"/>
    <w:rsid w:val="0014574D"/>
    <w:rsid w:val="002041AF"/>
    <w:rsid w:val="00217150"/>
    <w:rsid w:val="00257C9D"/>
    <w:rsid w:val="00271A7A"/>
    <w:rsid w:val="0032031B"/>
    <w:rsid w:val="00350BAF"/>
    <w:rsid w:val="00443BAE"/>
    <w:rsid w:val="00467A9A"/>
    <w:rsid w:val="004C6B86"/>
    <w:rsid w:val="00620001"/>
    <w:rsid w:val="006D708C"/>
    <w:rsid w:val="0078315B"/>
    <w:rsid w:val="007F1180"/>
    <w:rsid w:val="00834021"/>
    <w:rsid w:val="00846EDD"/>
    <w:rsid w:val="00890384"/>
    <w:rsid w:val="00891D27"/>
    <w:rsid w:val="0093341D"/>
    <w:rsid w:val="009656F3"/>
    <w:rsid w:val="009E7AE9"/>
    <w:rsid w:val="00AA6529"/>
    <w:rsid w:val="00AB7E0F"/>
    <w:rsid w:val="00AD63F4"/>
    <w:rsid w:val="00AF76F1"/>
    <w:rsid w:val="00B273A1"/>
    <w:rsid w:val="00B362CC"/>
    <w:rsid w:val="00BE2158"/>
    <w:rsid w:val="00C661D8"/>
    <w:rsid w:val="00C8511C"/>
    <w:rsid w:val="00D2410F"/>
    <w:rsid w:val="00D244D3"/>
    <w:rsid w:val="00D70333"/>
    <w:rsid w:val="00D708D8"/>
    <w:rsid w:val="00DB6AC9"/>
    <w:rsid w:val="00DD517E"/>
    <w:rsid w:val="00E102D8"/>
    <w:rsid w:val="00E11578"/>
    <w:rsid w:val="00E67859"/>
    <w:rsid w:val="00EB32A1"/>
    <w:rsid w:val="00F903EB"/>
    <w:rsid w:val="00FC583C"/>
    <w:rsid w:val="00FE5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3EB"/>
  </w:style>
  <w:style w:type="paragraph" w:styleId="7">
    <w:name w:val="heading 7"/>
    <w:basedOn w:val="a"/>
    <w:next w:val="a"/>
    <w:link w:val="70"/>
    <w:qFormat/>
    <w:rsid w:val="00DB6AC9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57C9D"/>
    <w:pPr>
      <w:ind w:left="720"/>
      <w:contextualSpacing/>
    </w:pPr>
  </w:style>
  <w:style w:type="character" w:styleId="a5">
    <w:name w:val="Emphasis"/>
    <w:basedOn w:val="a0"/>
    <w:qFormat/>
    <w:rsid w:val="00D244D3"/>
    <w:rPr>
      <w:i/>
      <w:iCs/>
    </w:rPr>
  </w:style>
  <w:style w:type="paragraph" w:styleId="a6">
    <w:name w:val="No Spacing"/>
    <w:link w:val="a7"/>
    <w:uiPriority w:val="1"/>
    <w:qFormat/>
    <w:rsid w:val="00D244D3"/>
    <w:pPr>
      <w:spacing w:after="0" w:line="240" w:lineRule="auto"/>
    </w:pPr>
    <w:rPr>
      <w:rFonts w:eastAsiaTheme="minorEastAsia"/>
      <w:lang w:eastAsia="ru-RU"/>
    </w:rPr>
  </w:style>
  <w:style w:type="paragraph" w:styleId="a8">
    <w:name w:val="header"/>
    <w:aliases w:val=" Знак4, Знак8,ВерхКолонтитул"/>
    <w:basedOn w:val="a"/>
    <w:link w:val="a9"/>
    <w:rsid w:val="00D244D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aliases w:val=" Знак4 Знак, Знак8 Знак,ВерхКолонтитул Знак"/>
    <w:basedOn w:val="a0"/>
    <w:link w:val="a8"/>
    <w:rsid w:val="00D244D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a">
    <w:name w:val="Table Grid"/>
    <w:aliases w:val="Table Grid Report"/>
    <w:basedOn w:val="a1"/>
    <w:uiPriority w:val="59"/>
    <w:rsid w:val="00D244D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Без интервала Знак"/>
    <w:basedOn w:val="a0"/>
    <w:link w:val="a6"/>
    <w:uiPriority w:val="1"/>
    <w:rsid w:val="00D244D3"/>
    <w:rPr>
      <w:rFonts w:eastAsiaTheme="minorEastAsia"/>
      <w:lang w:eastAsia="ru-RU"/>
    </w:rPr>
  </w:style>
  <w:style w:type="character" w:customStyle="1" w:styleId="a4">
    <w:name w:val="Абзац списка Знак"/>
    <w:link w:val="a3"/>
    <w:uiPriority w:val="34"/>
    <w:locked/>
    <w:rsid w:val="00D244D3"/>
  </w:style>
  <w:style w:type="paragraph" w:styleId="ab">
    <w:name w:val="Balloon Text"/>
    <w:basedOn w:val="a"/>
    <w:link w:val="ac"/>
    <w:uiPriority w:val="99"/>
    <w:semiHidden/>
    <w:unhideWhenUsed/>
    <w:rsid w:val="00D24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244D3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semiHidden/>
    <w:unhideWhenUsed/>
    <w:rsid w:val="00D708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D708D8"/>
  </w:style>
  <w:style w:type="character" w:customStyle="1" w:styleId="70">
    <w:name w:val="Заголовок 7 Знак"/>
    <w:basedOn w:val="a0"/>
    <w:link w:val="7"/>
    <w:rsid w:val="00DB6A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DB6AC9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Iauiue">
    <w:name w:val="Iau?iue"/>
    <w:rsid w:val="00DB6AC9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styleId="af">
    <w:name w:val="Hyperlink"/>
    <w:basedOn w:val="a0"/>
    <w:uiPriority w:val="99"/>
    <w:unhideWhenUsed/>
    <w:rsid w:val="00B362CC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mb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C6EE5A-8C1C-449E-A976-A3069B90D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1872</Words>
  <Characters>10673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Наталия</cp:lastModifiedBy>
  <cp:revision>3</cp:revision>
  <cp:lastPrinted>2021-02-25T05:21:00Z</cp:lastPrinted>
  <dcterms:created xsi:type="dcterms:W3CDTF">2021-04-19T11:27:00Z</dcterms:created>
  <dcterms:modified xsi:type="dcterms:W3CDTF">2021-04-29T06:23:00Z</dcterms:modified>
</cp:coreProperties>
</file>