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26" w:rsidRPr="00A00D26" w:rsidRDefault="00A00D26" w:rsidP="00A00D2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00D26">
        <w:rPr>
          <w:rFonts w:ascii="Times New Roman" w:hAnsi="Times New Roman"/>
          <w:b/>
          <w:sz w:val="28"/>
          <w:szCs w:val="28"/>
        </w:rPr>
        <w:t>Азбука Росреестра: Арбитражный управляющий</w:t>
      </w:r>
    </w:p>
    <w:p w:rsidR="007B0AE7" w:rsidRDefault="001A3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Здравствуйте, дорогие читатели! Не так давно мы объявили о старте новой рубрики “Азбука Росреестра”, в которой мы будем вам рассказывать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алфавитном порядке</w:t>
      </w:r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различных аспектах и понятиях учетно-регистрационной сферы и полномочиях ведомства. </w:t>
      </w:r>
    </w:p>
    <w:p w:rsidR="007B0AE7" w:rsidRDefault="001A3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Сегодня продолжим знакомить вас с терминами на букву «А». И на очереди у нас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«АРБИТРАЖНЫЙ УПРАВЛЯЮЩИЙ»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B0AE7" w:rsidRDefault="001A3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это и какое отношение он имеет к нашему ведомству, пояснил эксперт Управления Росреестра по Саратовской области Алексей Ершов.</w:t>
      </w:r>
    </w:p>
    <w:p w:rsidR="007B0AE7" w:rsidRDefault="001A3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Арбитражный управляющий – это человек, занимающийся </w:t>
      </w:r>
      <w:r w:rsidRPr="004D35CF">
        <w:rPr>
          <w:rFonts w:ascii="Times New Roman" w:hAnsi="Times New Roman"/>
          <w:sz w:val="28"/>
          <w:szCs w:val="28"/>
        </w:rPr>
        <w:t>сопровождением</w:t>
      </w:r>
      <w:r w:rsidR="004D35CF" w:rsidRPr="004D35C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регулированием процедур банкротства юридических и физических лиц.  Он назначается арбитражным судом для четкого соблюдения положений российского законодательства о несостоятельности (банкротстве).</w:t>
      </w:r>
    </w:p>
    <w:p w:rsidR="007B0AE7" w:rsidRDefault="001A3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 основная задача – обеспечение справедливого и законного проведения всех этапов банкротства, а также защита прав и интересов кредиторов и должников. </w:t>
      </w:r>
    </w:p>
    <w:p w:rsidR="007B0AE7" w:rsidRDefault="001A3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арбитражный управляющий тесно взаимодействует с Росреестром. В частности, он участвует в регистрации прав на имущество должника, в том числе на земельные участки и другую недвижимость. </w:t>
      </w:r>
    </w:p>
    <w:p w:rsidR="007B0AE7" w:rsidRDefault="001A3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позволяет обеспечить прозрачность и законность всех сделок с имуществом, связанных с процедурой банкротства.</w:t>
      </w:r>
    </w:p>
    <w:p w:rsidR="007B0AE7" w:rsidRDefault="001A326C">
      <w:pPr>
        <w:pStyle w:val="a7"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auto"/>
          <w:spacing w:val="0"/>
          <w:sz w:val="28"/>
          <w:szCs w:val="28"/>
        </w:rPr>
        <w:t xml:space="preserve">Территориальные органы Росреестра, реализуя функции органа по контролю (надзору) за деятельностью саморегулируемых организаций арбитражных управляющих, на основании п. 10 ч. 2 ст. 28.3 КоАП РФ, а также абзаца 7 п. 3 ст. 29 Закона о банкротстве наделены полномочиями по составлению протоколов об административных правонарушениях в отношении арбитражных управляющих при совершении ими неправомерных действий в процедурах банкротства. </w:t>
      </w:r>
    </w:p>
    <w:p w:rsidR="007B0AE7" w:rsidRDefault="001A326C">
      <w:pPr>
        <w:pStyle w:val="a7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auto"/>
          <w:spacing w:val="0"/>
          <w:sz w:val="28"/>
          <w:szCs w:val="28"/>
        </w:rPr>
        <w:t>Возбуждение административных дел, проведение расследований, составление протоколов и направление их для рассмотрения в арбитражный суд – все эти действия уполномоченных должностных лиц Росреестра по сути выполняют функции контроля и надзора в отношении арбитражных управляющих, а также носят профилактический характер по недопущению совершения ими правонарушений в будущем.</w:t>
      </w:r>
    </w:p>
    <w:p w:rsidR="007B0AE7" w:rsidRDefault="001A3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арбитражный управляющий играет ключевую роль в процессе банкротства и контроля за имуществом должника. </w:t>
      </w:r>
    </w:p>
    <w:p w:rsidR="007B0AE7" w:rsidRDefault="001A3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этого понятия может быть полезным для всех, кто занимается земельно-имущественными вопросами и связанными с ними юридическими аспектами.</w:t>
      </w:r>
    </w:p>
    <w:p w:rsidR="007B0AE7" w:rsidRDefault="001A3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26C">
        <w:rPr>
          <w:rFonts w:ascii="Times New Roman" w:hAnsi="Times New Roman"/>
          <w:sz w:val="28"/>
          <w:szCs w:val="28"/>
        </w:rPr>
        <w:t xml:space="preserve">Кстати, для того чтобы стать арбитражным управляющим необходимо пройти обучение и сдать экзамен комиссии, которая на 50% состоит из сотрудников </w:t>
      </w:r>
      <w:r w:rsidRPr="00472FF9">
        <w:rPr>
          <w:rFonts w:ascii="Times New Roman" w:hAnsi="Times New Roman"/>
          <w:sz w:val="28"/>
          <w:szCs w:val="28"/>
        </w:rPr>
        <w:t>Росреестра</w:t>
      </w:r>
      <w:bookmarkStart w:id="0" w:name="_GoBack"/>
      <w:bookmarkEnd w:id="0"/>
      <w:r w:rsidRPr="00472FF9">
        <w:rPr>
          <w:rFonts w:ascii="Times New Roman" w:hAnsi="Times New Roman"/>
          <w:sz w:val="28"/>
          <w:szCs w:val="28"/>
        </w:rPr>
        <w:t>.</w:t>
      </w:r>
    </w:p>
    <w:p w:rsidR="007B0AE7" w:rsidRDefault="007B0AE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</w:p>
    <w:sectPr w:rsidR="007B0AE7" w:rsidSect="004A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31B"/>
    <w:multiLevelType w:val="hybridMultilevel"/>
    <w:tmpl w:val="5B56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FE2"/>
    <w:multiLevelType w:val="hybridMultilevel"/>
    <w:tmpl w:val="43C40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01129"/>
    <w:multiLevelType w:val="hybridMultilevel"/>
    <w:tmpl w:val="BCC0B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76D4"/>
    <w:multiLevelType w:val="hybridMultilevel"/>
    <w:tmpl w:val="A08C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90B9B"/>
    <w:multiLevelType w:val="hybridMultilevel"/>
    <w:tmpl w:val="D1066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64343"/>
    <w:multiLevelType w:val="hybridMultilevel"/>
    <w:tmpl w:val="239C7C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EDF7D60"/>
    <w:multiLevelType w:val="hybridMultilevel"/>
    <w:tmpl w:val="1DA822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D32F1E"/>
    <w:multiLevelType w:val="hybridMultilevel"/>
    <w:tmpl w:val="9F54F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07C4E"/>
    <w:multiLevelType w:val="hybridMultilevel"/>
    <w:tmpl w:val="12440DB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EE7402"/>
    <w:multiLevelType w:val="hybridMultilevel"/>
    <w:tmpl w:val="726868B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276E2F"/>
    <w:multiLevelType w:val="hybridMultilevel"/>
    <w:tmpl w:val="839204F2"/>
    <w:lvl w:ilvl="0" w:tplc="91C6FA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A74270"/>
    <w:multiLevelType w:val="hybridMultilevel"/>
    <w:tmpl w:val="AF5C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F4E28"/>
    <w:multiLevelType w:val="hybridMultilevel"/>
    <w:tmpl w:val="4B0EA652"/>
    <w:lvl w:ilvl="0" w:tplc="91C6FA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0B36182"/>
    <w:multiLevelType w:val="hybridMultilevel"/>
    <w:tmpl w:val="0A000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0AE7"/>
    <w:rsid w:val="001A326C"/>
    <w:rsid w:val="00293A65"/>
    <w:rsid w:val="002E78C0"/>
    <w:rsid w:val="00472FF9"/>
    <w:rsid w:val="004A056C"/>
    <w:rsid w:val="004D35CF"/>
    <w:rsid w:val="007B0AE7"/>
    <w:rsid w:val="00A0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A056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056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A056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A05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4A0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05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05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No Spacing"/>
    <w:uiPriority w:val="1"/>
    <w:qFormat/>
    <w:rsid w:val="004A056C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A056C"/>
    <w:rPr>
      <w:rFonts w:ascii="Cambria" w:eastAsia="Times New Roman" w:hAnsi="Cambria" w:cs="Times New Roman"/>
      <w:b/>
      <w:bCs/>
      <w:color w:val="4F81BD"/>
    </w:rPr>
  </w:style>
  <w:style w:type="paragraph" w:styleId="a7">
    <w:name w:val="Subtitle"/>
    <w:basedOn w:val="a"/>
    <w:next w:val="a"/>
    <w:link w:val="a8"/>
    <w:uiPriority w:val="11"/>
    <w:qFormat/>
    <w:rsid w:val="004A056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A05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4275">
          <w:marLeft w:val="0"/>
          <w:marRight w:val="0"/>
          <w:marTop w:val="536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CE07-BEA1-438C-90D5-BF3C2D9E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Links>
    <vt:vector size="6" baseType="variant"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https://bankrot.fedresurs.ru/?attempt=1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u1151</dc:creator>
  <cp:lastModifiedBy>u0974</cp:lastModifiedBy>
  <cp:revision>2</cp:revision>
  <dcterms:created xsi:type="dcterms:W3CDTF">2024-02-12T04:22:00Z</dcterms:created>
  <dcterms:modified xsi:type="dcterms:W3CDTF">2024-02-12T04:22:00Z</dcterms:modified>
</cp:coreProperties>
</file>