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F" w:rsidRDefault="00770D5F" w:rsidP="00770D5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(с изменениями на 5 августа 2015 года)</w:t>
      </w:r>
    </w:p>
    <w:p w:rsidR="00770D5F" w:rsidRDefault="00770D5F" w:rsidP="00770D5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РОССИЙСКАЯ ФЕДЕРАЦИЯ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САРАТОВСКОЙ ОБЛАСТИ</w:t>
      </w:r>
    </w:p>
    <w:p w:rsidR="00770D5F" w:rsidRDefault="00770D5F" w:rsidP="00770D5F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августа 2015 года)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 Саратовской областной Думой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декабря 2007 года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тексте документа учтены изменения и дополнения, внесенные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02.07.2008 N 162-ЗСО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29.07.2009 N 117-ЗСО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30.09.2009 N 135-ЗСО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24.12.2010 N 238-ЗСО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03.08.2011 N 91-ЗСО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27.09.2011 N 108-ЗСО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28.03.2012 N 39-ЗСО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01.04.2015 N 27-ЗСО,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26.06.2015 N 78-ЗСО,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05.08.2015 N 96-ЗСО.</w:t>
        </w:r>
      </w:hyperlink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регулирует отношения по наделению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Государственные полномочия по осуществлению деятельности по опеке и попечительству, передаваемые органам местного самоуправления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lastRenderedPageBreak/>
        <w:t>Статья 1. Государственные полномочия по осуществлению деятельности по опеке и попечительству, передаваемые органам местного самоуправления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с учетом изменений, внесенных </w:t>
      </w:r>
      <w:hyperlink r:id="rId1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26.06.2015 N 78-ЗСО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Настоящим Законом органы местного самоуправления наделяются государственными полномочиями по осуществлению деятельности по опеке и попечительству в отношении совершеннолетних и несовершеннолетних граждан, в том числе 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исключением перечисления денежных выплат на содержание детей-сирот и детей, оставшихся без попечения родителей, переданных под опеку (попечительство), выплаты единовременного пособия при всех формах устройства детей, лишенных родительского попечения, в семью, выплаты единовременного пособия при усыновлении (удочерении) детей-сирот или детей, оставшихся без попечения родителей, финансирования приемных семей (далее - государственные полномочия).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Перечень муниципальных образований области, органы местного самоуправления которых наделяются государственными полномочиями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полномочиями наделяются органы местного самоуправления следующих муниципальных образований: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Александрово-Гайского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Аткарского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Аркадакского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Базарно-Карабулакского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Балашовского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Балаковского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Балтайского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Воскресенского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Вольского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Дергачевского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Духовницкого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Екатериновского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Ершовского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Ивантеевского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Калининского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Красноармейского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Краснокутского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Краснопартизанского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Лысогорского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Марксовского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Новобурасского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Новоузенского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Озинского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Питерского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Петровского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Перелюбского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Пугачевского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Ровенского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Романовского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Ртищевского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Советского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Самойловского муниципального района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Саратовского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Татищевского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Турковского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Федоровского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Хвалынского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Энгельсского муниципального района;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"Город Саратов" (абзац с учетом изменений, внесенных </w:t>
      </w:r>
      <w:hyperlink r:id="rId1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02.07.2008 N 162-ЗСО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1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ЗАТО Михайловский (абзац с учетом изменений, внесенных </w:t>
      </w:r>
      <w:hyperlink r:id="rId2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27.09.2011 N 108-ЗСО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городского округа - ЗАТО Светлый (абзац с учетом изменений, внесенных </w:t>
      </w:r>
      <w:hyperlink r:id="rId2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02.07.2008 N 162-ЗСО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ЗАТО Шиханы (абзац с учетом изменений, внесенных </w:t>
      </w:r>
      <w:hyperlink r:id="rId2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02.07.2008 N 162-ЗСО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Права и обязанности органов местного самоуправления при осуществлении переданных государственных полномочий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Статья 3. Права и обязанности органов местного самоуправления при осуществлении переданных государственных полномочий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с учетом изменений, внесенных </w:t>
      </w:r>
      <w:hyperlink r:id="rId2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01.04.2015 N 27-ЗСО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2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вправе: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получать субвенции из областного бюджета для осуществления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порядке, предусмотренных уставами муниципальных образований;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вносить предложения по совершенствованию деятельности, связанной с порядком осуществления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заключать соглашения о взаимодействии по переданным государственным полномочиям с многофункциональным центром предоставления государственных и муниципальных услуг.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местного самоуправления обязаны: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исполнять в установленном законодательством порядке переданные государственные полномочия;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обеспечивать эффективное и рациональное использование финансовых средств, выделенных из областного бюджета на исполнение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представлять уполномоченным органам исполнительной власти области документы и информацию, связанные с осуществлением деятельности по исполнению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исполнять письменные предписания уполномоченных органов исполнительной власти области по устранению нарушений, допущенных при осуществлении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разрабатывать проекты административных регламентов по переданным государственным полномочиям с учетом примерных административных регламентов и представлять их для утверждения уполномоченным органам исполнительной власти области (абзац дополнительно включен </w:t>
      </w:r>
      <w:hyperlink r:id="rId2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28.03.2012 N 39-ЗСО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Права и обязанности уполномоченных органов исполнительной власти области по вопросам, связанным с наделением органов местного самоуправления государственными полномочиями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Уполномоченные органы исполнительной власти области вправе: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издавать в пределах своей компетенции нормативные правовые акты по вопросам осуществления органами местного самоуправления переданных государственных полномочий и осуществлять контроль за их исполнением;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запрашивать в установленном порядке у органов местного самоуправления и должностных лиц органов местного самоуправления необходимые материалы и информацию, связанные с осуществлением ими переданных государственных полномочий, а также с использованием предоставленных на эти цели финансовых средств;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оказывать методическую помощь органам местного самоуправления по организации их работы по исполнению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давать письменные предписания по устранению нарушений, допущенных органами местного самоуправления при осуществлении переданных государственных полномочий.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Уполномоченные органы исполнительной власти области обязаны: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передавать органам местного самоуправления финансовые средства, необходимые для осуществления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контроль за исполнением органами местного самоуправления переданных государственных полномочий, а также за использованием предоставленных на эти цели финансовых средств;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оказывать содействие органам местного самоуправления в решении вопросов, связанных с осуществлением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разрабатывать примерные административные регламенты по переданным государственным полномочиям (абзац дополнительно включен </w:t>
      </w:r>
      <w:hyperlink r:id="rId2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28.03.2012 N 39-ЗСО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признан утратившим силу </w:t>
      </w:r>
      <w:hyperlink r:id="rId3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01.04.2015 N 27-ЗСО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hyperlink r:id="rId3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утверждать административные регламенты по переданным государственным полномочиям (абзац дополнительно включен </w:t>
      </w:r>
      <w:hyperlink r:id="rId3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28.03.2012 N 39-ЗСО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 (абзац признан утратившим силу </w:t>
      </w:r>
      <w:hyperlink r:id="rId3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01.04.2015 N 27-ЗСО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hyperlink r:id="rId3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5. Финансовое обеспечение переданных государственных полномочий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переданных органам местного самоуправления государственных полномочий осуществляется путем выделения местным бюджетам субвенций из областного бюджета, объем которых определяется на основании нормативов, установленных статьями 6 и 7 настоящего Закона.</w:t>
      </w:r>
    </w:p>
    <w:p w:rsidR="00770D5F" w:rsidRP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6. Расчет нормативов для определения общего объема субвенций, предоставляемых местным бюджетам из областного бюджета для осуществления передаваемых государственных полномочий в отношении совершеннолетних граждан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Статья 6. Расчет нормативов для определения общего объема субвенций, предоставляемых местным бюджетам из областного бюджета для осуществления передаваемых государственных полномочий в отношении совершеннолетних граждан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с учетом изменений, внесенных </w:t>
      </w:r>
      <w:hyperlink r:id="rId3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05.08.2015 N 96-ЗСО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3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Размер субвенций на осуществление передаваемых государственных полномочий в отношении совершеннолетних недееспособных и не полностью дееспособных граждан рассчитывается исходя из численности состоящих на учете в органе опеки и попечительства совершеннолетних недееспособных и не полностью дееспособных граждан на территории муниципального образования области на 1-е января года, предшествующего планируемому периоду.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состоящих на учете в органе опеки и попечительства совершеннолетних недееспособных и не полностью дееспособных граждан на территории муниципального образования области устанавливается на основании аналитических отчетов, представляемых органом местного самоуправления органу исполнительной власти области в сфере социальной поддержки населения в порядке, определенном статьей 8 настоящего Закона.</w:t>
      </w:r>
      <w:r w:rsidRPr="00770D5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 </w:t>
      </w:r>
      <w:hyperlink r:id="rId3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03.08.2011 N 91-ЗСО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hyperlink r:id="rId3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определения объема субвенций на осуществление передаваемых государственных полномочий в отношении совершеннолетних граждан учитываются расходы на оплату труда штатных работников, отчисления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и расходы на обеспечение их деятельности.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 </w:t>
      </w:r>
      <w:hyperlink r:id="rId3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24.12.2010 N 238-ЗСО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hyperlink r:id="rId4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Расходы на оплату труда штатных работников и отчисления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рассчитываются исходя из нормативов численности штатных работников, среднемесячного размера оплаты труда штатных работников и действующих тарифов страховых взносов.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 численности штатных работников определяется из следующего расчета: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до 200 человек включительно - одна единица;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200 до 400 человек включительно - две единицы;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400 до 600 человек включительно - три единицы;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600 до 800 человек включительно - четыре единицы;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800 до 1000 человек включительно - пять единиц;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1000 до 1200 человек включительно - шесть единиц;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1200 до 1400 человек включительно - семь единиц;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1400 до 1600 человек включительно - восемь единиц;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1600 до 1800 человек включительно - девять единиц;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с численностью состоящих на учете в органе опеки и попечительства совершеннолетних недееспособных и не полностью дееспособных граждан свыше 1800 человек - десять единиц.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 среднемесячного размера оплаты труда штатного работника с учетом отчислений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устанавливается в зависимости от численности населения на территории муниципального образования области в следующих размерах: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150 тысяч человек - 13640 рублей;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80 до 150 тысяч человек включительно - 12990 рублей;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50 до 80 тысяч человек включительно - 12340 рублей;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50 тысяч человек включительно - 11690 рублей.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с учетом изменений, внесенных </w:t>
      </w:r>
      <w:hyperlink r:id="rId4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27.09.2011 N 108-ЗСО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4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Расходы на обеспечение деятельности штатных работников включают в себя расходы на обеспечение рабочего места (приобретение мебели, канцелярских товаров, оргтехники, программного обеспечения), оплату услуг связи, расходных материалов и материальных запасов, справочной официальной литературы и печатной продукции, получения дополнительного профессионального образования, участия в семинарах, командировочные расходы и другие расходы, непосредственно связанные с осуществлением переданных полномочий, и предусматриваются на один финансовый год исходя из норматива 38 тысяч рублей на одного штатного работника (часть в редакции, введенной </w:t>
      </w:r>
      <w:hyperlink r:id="rId4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30.09.2009 N 135-ЗСО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4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Нормативы расходов, необходимых для осуществления переданных государственных полномочий, предусмотренные настоящей статьей, индексируются в соответствии с законом области об областном бюджете на очередной финансовый год (действие данной части в части индексации нормативов расходов на обеспечение деятельности штатных работников,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приостановлено с 1 января по 31 декабря 2010 года на основании </w:t>
      </w:r>
      <w:hyperlink r:id="rId4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Закона Саратовской области от 03.12.2009 N 196-ЗСО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1 января по 31 декабря 2011 года на основании </w:t>
      </w:r>
      <w:hyperlink r:id="rId4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Закона Саратовской области от 26.11.2010 N 209-ЗСО, 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1 января по 31 декабря 2012 года на основании </w:t>
      </w:r>
      <w:hyperlink r:id="rId4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Закона Саратовской области от 12.12.2011 N 202-ЗСО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Расчет нормативов для определения общего объема субвенций, предоставляемых местным бюджетам из областного бюджета для осуществления передаваемых государственных полномочий в отношении несовершеннолетних граждан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Размер субвенций на осуществление отдельных государственных полномочий в отношении несовершеннолетних граждан рассчитывается исходя из численности несовершеннолетнего населения на территории муниципального образования области на 1-е января года, предшествующего планируемому периоду.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определения объема субвенций на осуществление отдельных государственных полномочий в отношении несовершеннолетних граждан учитываются расходы на оплату труда штатных работников, отчисления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 расходы на обеспечение их деятельности; расходы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в соответствии с </w:t>
      </w:r>
      <w:hyperlink r:id="rId4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"Об обеспечении дополнительных гарантий прав на имущество и жилое помещение детей-сирот и детей, оставшихся без попечения родителей, в Саратовской области"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 </w:t>
      </w:r>
      <w:hyperlink r:id="rId4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24.12.2010 N 238-ЗСО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</w:t>
      </w:r>
      <w:hyperlink r:id="rId5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Расходы на оплату труда штатных работников и отчисления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рассчитываются исходя из нормативов численности несовершеннолетнего населения и среднемесячного размера оплаты труда (часть в редакции, введенной </w:t>
      </w:r>
      <w:hyperlink r:id="rId5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24.12.2010 N 238-ЗСО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5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Количество штатных работников определяется из следующего расчета: одна единица на 2000 человек несовершеннолетнего населения, но не менее одной единицы на территории муниципального образования области (часть в редакции, введенной </w:t>
      </w:r>
      <w:hyperlink r:id="rId5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02.07.2008 N 162-ЗСО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5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Норматив среднемесячного размера оплаты труда штатного работника с учетом отчислений по страховым взносам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устанавливается в зависимости от численности населения на территории муниципального образования области в следующих размерах: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свыше 150 тысяч человек - 13640 рублей;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80 до 150 тысяч человек включительно - 12990 рублей;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50 до 80 тысяч человек включительно - 12340 рублей;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50 тысяч человек включительно - 11690 рублей.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с учетом изменений, внесенных </w:t>
      </w:r>
      <w:hyperlink r:id="rId55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27.09.2011 N 108-ЗСО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56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Расходы на обеспечение деятельности штатных работников включают в себя расходы на обеспечение рабочего места (приобретение мебели, канцелярских товаров, оргтехники, программного обеспечения), оплату услуг связи, расходных материалов, справочной официальной литературы и печатной продукции, услуг в области информационных технологий, получения дополнительного профессионального образования, участия в семинарах, командировочные расходы и другие расходы, непосредственно связанные с осуществлением переданных полномочий, и предусматриваются на один финансовый год исходя из норматива 20 тысяч рублей на одного штатного работника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с учетом изменений, внесенных </w:t>
      </w:r>
      <w:hyperlink r:id="rId57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05.08.2015 N 96-ЗСО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58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6_1. Расходы на обеспечение деятельности по сохранению, содержанию (включая плату за жилое помещение и коммунальные услуги, за исключением коммунальных услуг, по которым в соответствии с Правилами предоставления коммунальных услуг гражданам осуществляется перерасчет в связи с временным отсутствием потребителя в жилом помещении) и ремонту пустующих жилых помещений, закрепленных за детьми-сиротами и детьми, оставшимися без попечения родителей, устанавливаются из размеров общей площади пустующих закрепленных жилых помещений, требующих ремонта по окончании пребывания детей-сирот, детей, оставшихся без попечения родителей,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свободы, и из размеров общей площади пустующих закрепленных жилых помещений, исходя из которой осуществляется начисление платы за жилое помещение и коммунальные услуги.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размерах общей площади пустующих закрепленных жилых помещений предоставляются органами местного самоуправления муниципальных районов (городских округов) области по состоянию на 1 мая года, предшествующего планируемому периоду, с последующим уточнением фактических размеров общей площади закрепленных жилых помещений до 1 декабря текущего финансового года.</w:t>
      </w:r>
    </w:p>
    <w:p w:rsidR="00770D5F" w:rsidRDefault="00770D5F" w:rsidP="00770D5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расходов устанавливается в расчете на 1 квадратный метр: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рублей на 1 квадратный метр в месяц - на сохранение и содержание пустующих жилых помещений;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1500 рублей на 1 квадратный метр - на ремонт пустующих жилых помещений.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дополнительно включена </w:t>
      </w:r>
      <w:hyperlink r:id="rId59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24.12.2010 N 238-ЗСО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Нормативы расходов, необходимых для осуществления государственных полномочий, предусмотренные настоящей статьей, индексируются в соответствии с законом области об областном бюджете на очередной финансовый год (действие данной части в части индексации нормативов расходов на обеспечение деятельности штатных работников,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 приостановлено с 1 января по 31 декабря 2010 года на основании </w:t>
      </w:r>
      <w:hyperlink r:id="rId60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Закона Саратовской области от 03.12.2009 N 196-ЗСО, 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1 января по 31 декабря 2011 года на основании </w:t>
      </w:r>
      <w:hyperlink r:id="rId61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Закона Саратовской области от 26.11.2010 N 209-ЗСО, 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1 января по 31 декабря 2012 года на основании </w:t>
      </w:r>
      <w:hyperlink r:id="rId62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Закона Саратовской области от 12.12.2011 N 202-ЗСО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Порядок и форма отчетности органов местного самоуправления об осуществлении переданных государственных полномочий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Отчетность органов местного самоуправления по вопросам осуществления переданных государственных полномочий устанавливается в виде ежемесячных аналитических отчетов. Форма отчетов по осуществлению переданных государственных полномочий в отношении несовершеннолетних граждан устанавливается уполномоченным органом исполнительной власти области в сфере образования, форма отчетов по осуществлению переданных государственных полномочий в отношении совершеннолетних граждан устанавливается уполномоченным органом исполнительной власти области в сфере социальной поддержки населения.</w:t>
      </w:r>
    </w:p>
    <w:p w:rsidR="00770D5F" w:rsidRPr="00770D5F" w:rsidRDefault="00770D5F" w:rsidP="00770D5F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Государственный контроль за осуществлением органами местного самоуправления переданных государственных полномочий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Контроль за осуществлением органами местного самоуправления переданных настоящим Законом государственных полномочий (далее - контроль) осуществляют: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несовершеннолетних граждан - уполномоченный орган исполнительной власти области в сфере образования;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совершеннолетних граждан - уполномоченный орган исполнительной власти области в сфере социальной поддержки населения.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с учетом изменений, внесенных </w:t>
      </w:r>
      <w:hyperlink r:id="rId63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Законом Саратовской области от 24.12.2010 N 238-ЗСО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64" w:history="1">
        <w:r>
          <w:rPr>
            <w:rStyle w:val="a3"/>
            <w:rFonts w:ascii="Arial" w:eastAsia="Times New Roman" w:hAnsi="Arial" w:cs="Arial"/>
            <w:color w:val="00466E"/>
            <w:spacing w:val="2"/>
            <w:sz w:val="21"/>
            <w:szCs w:val="21"/>
            <w:lang w:eastAsia="ru-RU"/>
          </w:rPr>
          <w:t>предыдущую редакцию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Целью контроля является обеспечение соблюдения органами местного самоуправления при осуществлении переданных государственных полномочий требований законодательства Российской Федерации и законодательства области.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целях осуществления контроля уполномоченный орган исполнительной власти области в сфере образования и уполномоченный орган исполнительной власти области в сфере социальной поддержки населения: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координируют действия органов местного самоуправления;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дают указания органам местного самоуправления по вопросам осуществления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запрашивают и получают документы и иную информацию по вопросам осуществления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заслушивают отчеты органов местного самоуправления;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производят проверки деятельности органов местного самоуправления.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выявлении нарушений органами местного самоуправления или должностными лицами органов местного самоуправления законодательства Российской Федерации и законодательства области по вопросам осуществления переданных государственных полномочий уполномоченный орган исполнительной власти области в сфере образования, уполномоченный орган исполнительной власти области в сфере социальной поддержки населения вправе давать письменные предписания по устранению выявленных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10. Условия и порядок досрочного прекращения исполнения органами местного самоуправления переданных государственных полномочий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Осуществление переданных государственных полномочий прекращается законом области по инициативе уполномоченного органа исполнительной власти области или органа местного самоуправления.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Осуществление органами местного самоуправления переданных государственных полномочий, указанных в статье 1 настоящего Закона, может быть прекращено досрочно в случаях: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неисполнения уполномоченным органом исполнительной власти области обязанностей по передаче органам местного самоуправления финансовых средств, необходимых для осуществления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неисполнения органами местного самоуправления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неэффективного осуществления органами местного самоуправления переданных государственных полномочий;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нарушений при осуществлении переданных государственных полномочий законодательства Российской Федерации и законодательства области;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иным основаниям, предусмотренным законодательством Российской Федерации и законодательством области.</w:t>
      </w:r>
    </w:p>
    <w:p w:rsidR="00770D5F" w:rsidRDefault="00770D5F" w:rsidP="00770D5F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11. Вступление в силу настоящего Закона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2008 года.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Саратовской области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П.Л.Ипатов</w:t>
      </w:r>
    </w:p>
    <w:p w:rsidR="00770D5F" w:rsidRDefault="00770D5F" w:rsidP="00770D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г.Саратов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декабря 2007 г.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297-ЗСО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</w:t>
      </w:r>
    </w:p>
    <w:p w:rsidR="00982FF4" w:rsidRDefault="00770D5F" w:rsidP="00770D5F">
      <w:pPr>
        <w:shd w:val="clear" w:color="auto" w:fill="FFFFFF"/>
        <w:spacing w:line="315" w:lineRule="atLeast"/>
        <w:jc w:val="right"/>
        <w:textAlignment w:val="baseline"/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ИПС "Кодекс" - Центр "Уникласс".</w:t>
      </w:r>
    </w:p>
    <w:sectPr w:rsidR="0098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BB"/>
    <w:rsid w:val="0008093E"/>
    <w:rsid w:val="005C5DBB"/>
    <w:rsid w:val="00770D5F"/>
    <w:rsid w:val="009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7705786" TargetMode="External"/><Relationship Id="rId18" Type="http://schemas.openxmlformats.org/officeDocument/2006/relationships/hyperlink" Target="http://docs.cntd.ru/document/933011291" TargetMode="External"/><Relationship Id="rId26" Type="http://schemas.openxmlformats.org/officeDocument/2006/relationships/hyperlink" Target="http://docs.cntd.ru/document/467705786" TargetMode="External"/><Relationship Id="rId39" Type="http://schemas.openxmlformats.org/officeDocument/2006/relationships/hyperlink" Target="http://docs.cntd.ru/document/933015802" TargetMode="External"/><Relationship Id="rId21" Type="http://schemas.openxmlformats.org/officeDocument/2006/relationships/hyperlink" Target="http://docs.cntd.ru/document/933018187" TargetMode="External"/><Relationship Id="rId34" Type="http://schemas.openxmlformats.org/officeDocument/2006/relationships/hyperlink" Target="http://docs.cntd.ru/document/467705899" TargetMode="External"/><Relationship Id="rId42" Type="http://schemas.openxmlformats.org/officeDocument/2006/relationships/hyperlink" Target="http://docs.cntd.ru/document/933018187" TargetMode="External"/><Relationship Id="rId47" Type="http://schemas.openxmlformats.org/officeDocument/2006/relationships/hyperlink" Target="http://docs.cntd.ru/document/933018168" TargetMode="External"/><Relationship Id="rId50" Type="http://schemas.openxmlformats.org/officeDocument/2006/relationships/hyperlink" Target="http://docs.cntd.ru/document/933109782" TargetMode="External"/><Relationship Id="rId55" Type="http://schemas.openxmlformats.org/officeDocument/2006/relationships/hyperlink" Target="http://docs.cntd.ru/document/933017705" TargetMode="External"/><Relationship Id="rId63" Type="http://schemas.openxmlformats.org/officeDocument/2006/relationships/hyperlink" Target="http://docs.cntd.ru/document/933015802" TargetMode="External"/><Relationship Id="rId7" Type="http://schemas.openxmlformats.org/officeDocument/2006/relationships/hyperlink" Target="http://docs.cntd.ru/document/93301295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7706519" TargetMode="External"/><Relationship Id="rId20" Type="http://schemas.openxmlformats.org/officeDocument/2006/relationships/hyperlink" Target="http://docs.cntd.ru/document/933017705" TargetMode="External"/><Relationship Id="rId29" Type="http://schemas.openxmlformats.org/officeDocument/2006/relationships/hyperlink" Target="http://docs.cntd.ru/document/933019076" TargetMode="External"/><Relationship Id="rId41" Type="http://schemas.openxmlformats.org/officeDocument/2006/relationships/hyperlink" Target="http://docs.cntd.ru/document/933017705" TargetMode="External"/><Relationship Id="rId54" Type="http://schemas.openxmlformats.org/officeDocument/2006/relationships/hyperlink" Target="http://docs.cntd.ru/document/933106973" TargetMode="External"/><Relationship Id="rId62" Type="http://schemas.openxmlformats.org/officeDocument/2006/relationships/hyperlink" Target="http://docs.cntd.ru/document/9330181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3011291" TargetMode="External"/><Relationship Id="rId11" Type="http://schemas.openxmlformats.org/officeDocument/2006/relationships/hyperlink" Target="http://docs.cntd.ru/document/933017705" TargetMode="External"/><Relationship Id="rId24" Type="http://schemas.openxmlformats.org/officeDocument/2006/relationships/hyperlink" Target="http://docs.cntd.ru/document/933011291" TargetMode="External"/><Relationship Id="rId32" Type="http://schemas.openxmlformats.org/officeDocument/2006/relationships/hyperlink" Target="http://docs.cntd.ru/document/933019076" TargetMode="External"/><Relationship Id="rId37" Type="http://schemas.openxmlformats.org/officeDocument/2006/relationships/hyperlink" Target="http://docs.cntd.ru/document/933017299" TargetMode="External"/><Relationship Id="rId40" Type="http://schemas.openxmlformats.org/officeDocument/2006/relationships/hyperlink" Target="http://docs.cntd.ru/document/933109782" TargetMode="External"/><Relationship Id="rId45" Type="http://schemas.openxmlformats.org/officeDocument/2006/relationships/hyperlink" Target="http://docs.cntd.ru/document/933013636" TargetMode="External"/><Relationship Id="rId53" Type="http://schemas.openxmlformats.org/officeDocument/2006/relationships/hyperlink" Target="http://docs.cntd.ru/document/933011291" TargetMode="External"/><Relationship Id="rId58" Type="http://schemas.openxmlformats.org/officeDocument/2006/relationships/hyperlink" Target="http://docs.cntd.ru/document/467707141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7707113" TargetMode="External"/><Relationship Id="rId23" Type="http://schemas.openxmlformats.org/officeDocument/2006/relationships/hyperlink" Target="http://docs.cntd.ru/document/933106973" TargetMode="External"/><Relationship Id="rId28" Type="http://schemas.openxmlformats.org/officeDocument/2006/relationships/hyperlink" Target="http://docs.cntd.ru/document/933019076" TargetMode="External"/><Relationship Id="rId36" Type="http://schemas.openxmlformats.org/officeDocument/2006/relationships/hyperlink" Target="http://docs.cntd.ru/document/467707141" TargetMode="External"/><Relationship Id="rId49" Type="http://schemas.openxmlformats.org/officeDocument/2006/relationships/hyperlink" Target="http://docs.cntd.ru/document/933015802" TargetMode="External"/><Relationship Id="rId57" Type="http://schemas.openxmlformats.org/officeDocument/2006/relationships/hyperlink" Target="http://docs.cntd.ru/document/467707113" TargetMode="External"/><Relationship Id="rId61" Type="http://schemas.openxmlformats.org/officeDocument/2006/relationships/hyperlink" Target="http://docs.cntd.ru/document/933015618" TargetMode="External"/><Relationship Id="rId10" Type="http://schemas.openxmlformats.org/officeDocument/2006/relationships/hyperlink" Target="http://docs.cntd.ru/document/933017299" TargetMode="External"/><Relationship Id="rId19" Type="http://schemas.openxmlformats.org/officeDocument/2006/relationships/hyperlink" Target="http://docs.cntd.ru/document/933106973" TargetMode="External"/><Relationship Id="rId31" Type="http://schemas.openxmlformats.org/officeDocument/2006/relationships/hyperlink" Target="http://docs.cntd.ru/document/467705899" TargetMode="External"/><Relationship Id="rId44" Type="http://schemas.openxmlformats.org/officeDocument/2006/relationships/hyperlink" Target="http://docs.cntd.ru/document/933108261" TargetMode="External"/><Relationship Id="rId52" Type="http://schemas.openxmlformats.org/officeDocument/2006/relationships/hyperlink" Target="http://docs.cntd.ru/document/933109782" TargetMode="External"/><Relationship Id="rId60" Type="http://schemas.openxmlformats.org/officeDocument/2006/relationships/hyperlink" Target="http://docs.cntd.ru/document/933013636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33015802" TargetMode="External"/><Relationship Id="rId14" Type="http://schemas.openxmlformats.org/officeDocument/2006/relationships/hyperlink" Target="http://docs.cntd.ru/document/467706519" TargetMode="External"/><Relationship Id="rId22" Type="http://schemas.openxmlformats.org/officeDocument/2006/relationships/hyperlink" Target="http://docs.cntd.ru/document/933011291" TargetMode="External"/><Relationship Id="rId27" Type="http://schemas.openxmlformats.org/officeDocument/2006/relationships/hyperlink" Target="http://docs.cntd.ru/document/467705899" TargetMode="External"/><Relationship Id="rId30" Type="http://schemas.openxmlformats.org/officeDocument/2006/relationships/hyperlink" Target="http://docs.cntd.ru/document/467705786" TargetMode="External"/><Relationship Id="rId35" Type="http://schemas.openxmlformats.org/officeDocument/2006/relationships/hyperlink" Target="http://docs.cntd.ru/document/467707113" TargetMode="External"/><Relationship Id="rId43" Type="http://schemas.openxmlformats.org/officeDocument/2006/relationships/hyperlink" Target="http://docs.cntd.ru/document/933013309" TargetMode="External"/><Relationship Id="rId48" Type="http://schemas.openxmlformats.org/officeDocument/2006/relationships/hyperlink" Target="http://docs.cntd.ru/document/933010077" TargetMode="External"/><Relationship Id="rId56" Type="http://schemas.openxmlformats.org/officeDocument/2006/relationships/hyperlink" Target="http://docs.cntd.ru/document/933018187" TargetMode="External"/><Relationship Id="rId64" Type="http://schemas.openxmlformats.org/officeDocument/2006/relationships/hyperlink" Target="http://docs.cntd.ru/document/933109782" TargetMode="External"/><Relationship Id="rId8" Type="http://schemas.openxmlformats.org/officeDocument/2006/relationships/hyperlink" Target="http://docs.cntd.ru/document/933013309" TargetMode="External"/><Relationship Id="rId51" Type="http://schemas.openxmlformats.org/officeDocument/2006/relationships/hyperlink" Target="http://docs.cntd.ru/document/93301580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33019076" TargetMode="External"/><Relationship Id="rId17" Type="http://schemas.openxmlformats.org/officeDocument/2006/relationships/hyperlink" Target="http://docs.cntd.ru/document/467706589" TargetMode="External"/><Relationship Id="rId25" Type="http://schemas.openxmlformats.org/officeDocument/2006/relationships/hyperlink" Target="http://docs.cntd.ru/document/933106973" TargetMode="External"/><Relationship Id="rId33" Type="http://schemas.openxmlformats.org/officeDocument/2006/relationships/hyperlink" Target="http://docs.cntd.ru/document/467705786" TargetMode="External"/><Relationship Id="rId38" Type="http://schemas.openxmlformats.org/officeDocument/2006/relationships/hyperlink" Target="http://docs.cntd.ru/document/933018186" TargetMode="External"/><Relationship Id="rId46" Type="http://schemas.openxmlformats.org/officeDocument/2006/relationships/hyperlink" Target="http://docs.cntd.ru/document/933015618" TargetMode="External"/><Relationship Id="rId59" Type="http://schemas.openxmlformats.org/officeDocument/2006/relationships/hyperlink" Target="http://docs.cntd.ru/document/933015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AC2E-5512-4B6A-8AB1-19B816CD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4575</Words>
  <Characters>26081</Characters>
  <Application>Microsoft Office Word</Application>
  <DocSecurity>0</DocSecurity>
  <Lines>217</Lines>
  <Paragraphs>61</Paragraphs>
  <ScaleCrop>false</ScaleCrop>
  <Company/>
  <LinksUpToDate>false</LinksUpToDate>
  <CharactersWithSpaces>30595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Lyudmila</cp:lastModifiedBy>
  <cp:revision>2</cp:revision>
  <dcterms:created xsi:type="dcterms:W3CDTF">2019-12-13T06:06:00Z</dcterms:created>
  <dcterms:modified xsi:type="dcterms:W3CDTF">2019-12-13T06:06:00Z</dcterms:modified>
</cp:coreProperties>
</file>