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rFonts w:cs="PT Astra Serif" w:ascii="PT Astra Serif" w:hAnsi="PT Astra Serif"/>
          <w:b/>
          <w:bCs/>
          <w:i w:val="false"/>
          <w:caps w:val="false"/>
          <w:smallCaps w:val="false"/>
          <w:color w:val="363634"/>
          <w:spacing w:val="0"/>
          <w:sz w:val="28"/>
          <w:szCs w:val="28"/>
        </w:rPr>
        <w:t>Сроки запуска маркировки упакованной воды</w:t>
      </w:r>
    </w:p>
    <w:p>
      <w:pPr>
        <w:pStyle w:val="Style21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30"/>
        <w:widowControl/>
        <w:spacing w:before="0" w:after="0"/>
        <w:ind w:left="0" w:right="353" w:hanging="0"/>
        <w:rPr>
          <w:sz w:val="24"/>
        </w:rPr>
      </w:pPr>
      <w:r>
        <w:rPr/>
      </w:r>
    </w:p>
    <w:p>
      <w:pPr>
        <w:pStyle w:val="Style21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Проведен эксперимент по маркировке упакованной воды</w:t>
      </w:r>
    </w:p>
    <w:p>
      <w:pPr>
        <w:pStyle w:val="Style21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с 1 апреля 2020 года по 1 июня 2021 года</w:t>
      </w:r>
    </w:p>
    <w:p>
      <w:pPr>
        <w:pStyle w:val="Style21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1 июня 2021 года закончился пилотный проект по маркировке упакованной воды. В нем приняло участие более 5 тыс. компаний, было выпущено около 10 млн. кодов маркировки.</w:t>
      </w:r>
    </w:p>
    <w:p>
      <w:pPr>
        <w:pStyle w:val="Style21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30"/>
        <w:widowControl/>
        <w:spacing w:before="0" w:after="0"/>
        <w:ind w:left="0" w:right="353" w:hanging="0"/>
        <w:rPr>
          <w:sz w:val="24"/>
        </w:rPr>
      </w:pPr>
      <w:r>
        <w:rPr/>
      </w:r>
    </w:p>
    <w:p>
      <w:pPr>
        <w:pStyle w:val="Style21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Старт обязательной регистрации в системе маркировки</w:t>
      </w:r>
    </w:p>
    <w:p>
      <w:pPr>
        <w:pStyle w:val="Style21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 1 сентября 2021 года</w:t>
      </w:r>
    </w:p>
    <w:p>
      <w:pPr>
        <w:pStyle w:val="Style21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Производители, импортеры, организации оптовой и розничной торговли, осуществляющие оборот упакованной воды, должны подать заявление на регистрацию в системе маркировки с 1 сентября 2021 года, но не позднее 7 дней со дня возникновения необходимости осуществления оборота маркированной упакованной воды.</w:t>
      </w:r>
    </w:p>
    <w:p>
      <w:pPr>
        <w:pStyle w:val="Style21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30"/>
        <w:widowControl/>
        <w:spacing w:before="0" w:after="0"/>
        <w:ind w:left="0" w:right="353" w:hanging="0"/>
        <w:rPr>
          <w:sz w:val="24"/>
        </w:rPr>
      </w:pPr>
      <w:r>
        <w:rPr/>
      </w:r>
    </w:p>
    <w:p>
      <w:pPr>
        <w:pStyle w:val="Style21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Маркировка становится обязательной для категории «минеральная вода»</w:t>
      </w:r>
    </w:p>
    <w:p>
      <w:pPr>
        <w:pStyle w:val="Style21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 1 декабря 2021 года</w:t>
      </w:r>
    </w:p>
    <w:p>
      <w:pPr>
        <w:pStyle w:val="Style21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С 1 декабря 2021 года маркировка становится обязательной для категории «минеральная вода». Производители и импортеры минеральной воды (продукции, соответствующей кодам ТН ВЭД 2201, в том числе 2201 10, ОКПД2 11.07.11.110) к этой дате обязаны быть зарегистрированы в системе и описать свои товары в каталоге. К этому времени также должны быть полностью настроены процессы по заказу кодов, их нанесению на товары с подачей в систему отчета о нанесении и вводе кодов маркировки в оборот, налажена работа по оплате кодов. Оборот немаркированной минеральной воды, произведенной с этой даты, будет запрещен.</w:t>
      </w:r>
    </w:p>
    <w:p>
      <w:pPr>
        <w:pStyle w:val="Style21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30"/>
        <w:widowControl/>
        <w:spacing w:before="0" w:after="0"/>
        <w:ind w:left="0" w:right="353" w:hanging="0"/>
        <w:rPr>
          <w:sz w:val="24"/>
        </w:rPr>
      </w:pPr>
      <w:r>
        <w:rPr/>
      </w:r>
    </w:p>
    <w:p>
      <w:pPr>
        <w:pStyle w:val="Style21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Маркировка становится обязательной для прочих категорий питьевой воды</w:t>
      </w:r>
    </w:p>
    <w:p>
      <w:pPr>
        <w:pStyle w:val="Style21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 1 марта 2022 года</w:t>
      </w:r>
    </w:p>
    <w:p>
      <w:pPr>
        <w:pStyle w:val="Style21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Производители и импортеры любой категории упакованной воды (ТН ВЭД 2201, в том числе 2201 90 000 0, ОКПД2 11.07.11.120, 11.07.11.130, 11.07.11.140) к этой дате обязаны быть зарегистрированы в системе и описать свои товары в каталоге. К этому времени также должны быть полностью настроены процессы по заказу кодов, их нанесению на товары с подачей в систему отчета о нанесении и вводе кодов маркировки в оборот, налажена работа по оплате кодов. Оборот немаркированной упакованной воды, произведенной с этой даты, будет запрещен.</w:t>
      </w:r>
    </w:p>
    <w:p>
      <w:pPr>
        <w:pStyle w:val="Style21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30"/>
        <w:widowControl/>
        <w:spacing w:before="0" w:after="0"/>
        <w:ind w:left="0" w:right="353" w:hanging="0"/>
        <w:rPr>
          <w:sz w:val="24"/>
        </w:rPr>
      </w:pPr>
      <w:r>
        <w:rPr/>
      </w:r>
    </w:p>
    <w:p>
      <w:pPr>
        <w:pStyle w:val="Style21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Появляется обязанность передачи сведений об обороте маркированной воды (объемно-сортовой учет) для всех участников оборота.</w:t>
      </w:r>
    </w:p>
    <w:p>
      <w:pPr>
        <w:pStyle w:val="Style21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 1 ноября 2022 года</w:t>
      </w:r>
    </w:p>
    <w:p>
      <w:pPr>
        <w:pStyle w:val="Style21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Производитель, импортер, организации оптовой и розничной торговли, а также HoReCa (которая реализует упакованный товар, через кассу)— с этой даты должны использовать электронный документооборот в процессах отгрузки и приемки маркированной продукции. Участникам оборота необходимо внедрить и настроить электронный документооборот. Для этого нужно выбрать оператора ЭДО и провести тестирование электронного документооборота с контрагентами. Передавать сведения в систему необходимо о партиях товаров (информация о коде товара и количестве отгружаемого маркированного товара), при этом возможно передавать информацию без указания конкретных кодов маркировки, которые перемещаются между собственниками.</w:t>
      </w:r>
    </w:p>
    <w:p>
      <w:pPr>
        <w:pStyle w:val="Style21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30"/>
        <w:widowControl/>
        <w:spacing w:before="0" w:after="0"/>
        <w:ind w:left="0" w:right="353" w:hanging="0"/>
        <w:rPr>
          <w:sz w:val="24"/>
        </w:rPr>
      </w:pPr>
      <w:r>
        <w:rPr/>
      </w:r>
    </w:p>
    <w:p>
      <w:pPr>
        <w:pStyle w:val="Style21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Появляется обязанность передачи сведений в систему цифровой маркировки Честный ЗНАК о выводе из оборота по прочим причинам (не являющимся продажей в розницу) для производителей, импортеров, опта и розницы.</w:t>
      </w:r>
    </w:p>
    <w:p>
      <w:pPr>
        <w:pStyle w:val="Style21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 1 ноября 2022 года</w:t>
      </w:r>
    </w:p>
    <w:p>
      <w:pPr>
        <w:pStyle w:val="Style21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Передача сведений о выводе из оборота путем, не являющимся продажей в розницу. Производитель, импортер, организации оптовой и розничной торговли — с этой даты должны подавать сведения в систему цифровой маркировки Честный ЗНАК о выводе из оборота продукции по прочим причинам (Использование для собственных нужд, Использование для собственных нужд покупателем, Безвозмездная передача, Истечение срока годности, Утилизация, Утрата и др.). Для этого необходимо создать документ: «Вывод товара из оборота», в разделе: «Документы» личного кабинета Честного ЗНАКа.</w:t>
      </w:r>
    </w:p>
    <w:p>
      <w:pPr>
        <w:pStyle w:val="Style21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30"/>
        <w:widowControl/>
        <w:spacing w:before="0" w:after="0"/>
        <w:ind w:left="0" w:right="353" w:hanging="0"/>
        <w:rPr>
          <w:sz w:val="24"/>
        </w:rPr>
      </w:pPr>
      <w:r>
        <w:rPr/>
      </w:r>
    </w:p>
    <w:p>
      <w:pPr>
        <w:pStyle w:val="Style21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Появляется обязанность передачи сведений в систему маркировки о розничной реализации маркированной воды для всех участников оборота</w:t>
      </w:r>
    </w:p>
    <w:p>
      <w:pPr>
        <w:pStyle w:val="Style21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 1 марта 2023 года</w:t>
      </w:r>
    </w:p>
    <w:p>
      <w:pPr>
        <w:pStyle w:val="Style21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Производитель, импортер, организации оптовой и розничной торговли, а также HoReCa, которые реализуют любые типы упакованной питьевой воды с применением ККТ, с этой даты обеспечивают сканирование кодов на кассе при продаже маркированной продукции и передачу сведений о продажах в систему маркировки с использованием онлайн-касс. К этому времени необходимо протестировать процессы продажи, передачи сведений в систему маркировки, и обеспечить наличие 2D-сканеров на кассах, а также при необходимости обновить кассовое ПО.</w:t>
      </w:r>
    </w:p>
    <w:p>
      <w:pPr>
        <w:pStyle w:val="Style21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30"/>
        <w:widowControl/>
        <w:spacing w:before="0" w:after="0"/>
        <w:ind w:left="0" w:right="353" w:hanging="0"/>
        <w:rPr>
          <w:sz w:val="24"/>
        </w:rPr>
      </w:pPr>
      <w:r>
        <w:rPr/>
      </w:r>
    </w:p>
    <w:p>
      <w:pPr>
        <w:pStyle w:val="Style21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Становится обязательной передача сведений в систему маркировки о выбытии упакованной воды для сегмента HoReCa и госучреждений</w:t>
      </w:r>
    </w:p>
    <w:p>
      <w:pPr>
        <w:pStyle w:val="Style21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 1 декабря 2023 года</w:t>
      </w:r>
    </w:p>
    <w:p>
      <w:pPr>
        <w:pStyle w:val="Style21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Участники оборота в сегменте HoReCa (рестораны, кафе, отели), а также госучреждения (столовые в школах, детских садах, больницах), приобретающие упакованную для использования в целях, не связанных с ее последующей реализацией (продажей), должны с этой даты представлять в информационную систему мониторинга сведения о выводе из оборота указанной продукции. Для этого участникам необходимо настроить электронный документооборот. Потребуется выбрать оператора ЭДО и провести тестирование электронного документооборота с контрагентами.</w:t>
      </w:r>
    </w:p>
    <w:p>
      <w:pPr>
        <w:pStyle w:val="Style21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21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Появляется обязанность передачи сведений об обороте маркированной воды (поэкземплярный учет)</w:t>
      </w:r>
    </w:p>
    <w:p>
      <w:pPr>
        <w:pStyle w:val="Style21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 1 марта 2025 года</w:t>
      </w:r>
    </w:p>
    <w:p>
      <w:pPr>
        <w:pStyle w:val="Style21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Производитель, импортер, организации оптовой и розничной торговли–с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Для этого нужно выбрать оператора ЭДО и провести тестирование электронного документооборота с контрагентами.. Передавать сведения в систему необходимо о каждой единице маркированного товара.</w:t>
      </w:r>
    </w:p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1701" w:right="850" w:header="0" w:top="391" w:footer="0" w:bottom="4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PT Astra Serif">
    <w:charset w:val="01"/>
    <w:family w:val="roman"/>
    <w:pitch w:val="variable"/>
  </w:font>
  <w:font w:name="inheri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6a2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Style20"/>
    <w:next w:val="Style21"/>
    <w:qFormat/>
    <w:pPr>
      <w:spacing w:before="240" w:after="120"/>
      <w:outlineLvl w:val="0"/>
    </w:pPr>
    <w:rPr>
      <w:rFonts w:ascii="Times New Roman" w:hAnsi="Times New Roman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qFormat/>
    <w:rsid w:val="00ab66a2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14">
    <w:name w:val="Интернет-ссылка"/>
    <w:basedOn w:val="DefaultParagraphFont"/>
    <w:rsid w:val="00ab66a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b66a2"/>
    <w:rPr>
      <w:rFonts w:ascii="Tahoma" w:hAnsi="Tahoma" w:eastAsia="Calibri" w:cs="Tahoma"/>
      <w:sz w:val="16"/>
      <w:szCs w:val="16"/>
    </w:rPr>
  </w:style>
  <w:style w:type="character" w:styleId="Style16" w:customStyle="1">
    <w:name w:val="Основной текст Знак"/>
    <w:basedOn w:val="DefaultParagraphFont"/>
    <w:link w:val="a8"/>
    <w:uiPriority w:val="99"/>
    <w:qFormat/>
    <w:rsid w:val="00ab66a2"/>
    <w:rPr>
      <w:rFonts w:ascii="Calibri" w:hAnsi="Calibri" w:eastAsia="Times New Roman" w:cs="Times New Roman"/>
      <w:lang w:eastAsia="ru-RU"/>
    </w:rPr>
  </w:style>
  <w:style w:type="character" w:styleId="Right" w:customStyle="1">
    <w:name w:val="right"/>
    <w:basedOn w:val="DefaultParagraphFont"/>
    <w:qFormat/>
    <w:rsid w:val="00e85c69"/>
    <w:rPr/>
  </w:style>
  <w:style w:type="character" w:styleId="Style17" w:customStyle="1">
    <w:name w:val="Основной текст с отступом Знак"/>
    <w:basedOn w:val="DefaultParagraphFont"/>
    <w:link w:val="aa"/>
    <w:uiPriority w:val="99"/>
    <w:semiHidden/>
    <w:qFormat/>
    <w:rsid w:val="00f72830"/>
    <w:rPr>
      <w:rFonts w:ascii="Times New Roman" w:hAnsi="Times New Roman" w:eastAsia="Calibri" w:cs="Times New Roman"/>
      <w:sz w:val="28"/>
      <w:szCs w:val="28"/>
    </w:rPr>
  </w:style>
  <w:style w:type="character" w:styleId="Style18" w:customStyle="1">
    <w:name w:val="Текст сноски Знак"/>
    <w:basedOn w:val="DefaultParagraphFont"/>
    <w:link w:val="ad"/>
    <w:uiPriority w:val="99"/>
    <w:semiHidden/>
    <w:qFormat/>
    <w:rsid w:val="00f72830"/>
    <w:rPr>
      <w:rFonts w:ascii="Times New Roman" w:hAnsi="Times New Roman" w:eastAsia="Calibri" w:cs="Times New Roman"/>
      <w:sz w:val="20"/>
      <w:szCs w:val="20"/>
    </w:rPr>
  </w:style>
  <w:style w:type="character" w:styleId="11" w:customStyle="1">
    <w:name w:val="Текст сноски Знак1"/>
    <w:basedOn w:val="DefaultParagraphFont"/>
    <w:link w:val="ad"/>
    <w:semiHidden/>
    <w:qFormat/>
    <w:rsid w:val="00f7283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72830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21">
    <w:name w:val="Body Text"/>
    <w:basedOn w:val="Normal"/>
    <w:link w:val="a9"/>
    <w:uiPriority w:val="99"/>
    <w:unhideWhenUsed/>
    <w:rsid w:val="00ab66a2"/>
    <w:pPr>
      <w:spacing w:lineRule="auto" w:line="276" w:before="0" w:after="120"/>
      <w:jc w:val="left"/>
    </w:pPr>
    <w:rPr>
      <w:rFonts w:ascii="Calibri" w:hAnsi="Calibri" w:eastAsia="Times New Roman"/>
      <w:sz w:val="22"/>
      <w:szCs w:val="22"/>
      <w:lang w:eastAsia="ru-RU"/>
    </w:rPr>
  </w:style>
  <w:style w:type="paragraph" w:styleId="Style22">
    <w:name w:val="List"/>
    <w:basedOn w:val="Style21"/>
    <w:pPr/>
    <w:rPr>
      <w:rFonts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rsid w:val="00ab66a2"/>
    <w:pPr>
      <w:tabs>
        <w:tab w:val="clear" w:pos="720"/>
        <w:tab w:val="center" w:pos="4844" w:leader="none"/>
        <w:tab w:val="right" w:pos="9689" w:leader="none"/>
      </w:tabs>
      <w:jc w:val="left"/>
    </w:pPr>
    <w:rPr>
      <w:rFonts w:eastAsia="Times New Roman"/>
      <w:sz w:val="20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b66a2"/>
    <w:pPr/>
    <w:rPr>
      <w:rFonts w:ascii="Tahoma" w:hAnsi="Tahoma" w:cs="Tahoma"/>
      <w:sz w:val="16"/>
      <w:szCs w:val="16"/>
    </w:rPr>
  </w:style>
  <w:style w:type="paragraph" w:styleId="Msonormal" w:customStyle="1">
    <w:name w:val="&quot;msonormal&quot;"/>
    <w:basedOn w:val="Normal"/>
    <w:qFormat/>
    <w:rsid w:val="00ab66a2"/>
    <w:pPr>
      <w:spacing w:lineRule="atLeast" w:line="100" w:before="100" w:after="100"/>
      <w:jc w:val="left"/>
    </w:pPr>
    <w:rPr>
      <w:rFonts w:ascii="Arial" w:hAnsi="Arial" w:cs="Arial"/>
      <w:sz w:val="24"/>
      <w:szCs w:val="24"/>
      <w:lang w:eastAsia="ru-RU"/>
    </w:rPr>
  </w:style>
  <w:style w:type="paragraph" w:styleId="Style27">
    <w:name w:val="Body Text Indent"/>
    <w:basedOn w:val="Normal"/>
    <w:link w:val="ab"/>
    <w:uiPriority w:val="99"/>
    <w:semiHidden/>
    <w:unhideWhenUsed/>
    <w:rsid w:val="00f7283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f72830"/>
    <w:pPr>
      <w:suppressAutoHyphens w:val="true"/>
      <w:spacing w:before="0" w:after="0"/>
      <w:ind w:left="720" w:hanging="0"/>
      <w:contextualSpacing/>
      <w:jc w:val="left"/>
    </w:pPr>
    <w:rPr>
      <w:rFonts w:eastAsia="Times New Roman"/>
      <w:szCs w:val="24"/>
      <w:lang w:eastAsia="ru-RU"/>
    </w:rPr>
  </w:style>
  <w:style w:type="paragraph" w:styleId="Style28">
    <w:name w:val="Footnote Text"/>
    <w:basedOn w:val="Normal"/>
    <w:link w:val="1"/>
    <w:semiHidden/>
    <w:unhideWhenUsed/>
    <w:rsid w:val="00f72830"/>
    <w:pPr>
      <w:suppressAutoHyphens w:val="true"/>
      <w:jc w:val="left"/>
    </w:pPr>
    <w:rPr>
      <w:rFonts w:eastAsia="Times New Roman"/>
      <w:sz w:val="20"/>
      <w:szCs w:val="20"/>
      <w:lang w:eastAsia="ru-RU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rFonts w:cs="Calibri"/>
      <w:sz w:val="24"/>
      <w:szCs w:val="24"/>
    </w:rPr>
  </w:style>
  <w:style w:type="paragraph" w:styleId="Style30">
    <w:name w:val="Горизонтальная линия"/>
    <w:basedOn w:val="Normal"/>
    <w:next w:val="Style21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ed3d27"/>
    <w:pPr>
      <w:spacing w:after="0" w:line="240" w:lineRule="auto"/>
    </w:pPr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F3A9-CB68-4892-9ECC-7E78EE9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LibreOffice/7.0.6.2$Linux_X86_64 LibreOffice_project/00$Build-2</Application>
  <AppVersion>15.0000</AppVersion>
  <Pages>3</Pages>
  <Words>736</Words>
  <Characters>4803</Characters>
  <CharactersWithSpaces>5512</CharactersWithSpaces>
  <Paragraphs>28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2023-01-11T17:27:00Z</dcterms:created>
  <dc:creator>dolganova</dc:creator>
  <dc:description/>
  <dc:language>ru-RU</dc:language>
  <cp:lastModifiedBy/>
  <cp:lastPrinted>2022-06-06T07:10:00Z</cp:lastPrinted>
  <dcterms:modified xsi:type="dcterms:W3CDTF">2023-02-27T16:28:50Z</dcterms:modified>
  <cp:revision>14</cp:revision>
  <dc:subject/>
  <dc:title>Вопрос: О розничной продаже алкогольной продукции при оказании услуг общественного питания в концертных и театральных залах.(Письмо Минфина России от 25.12.2019 N 03-14-11/101653)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