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rightFromText="180" w:vertAnchor="text" w:tblpX="-108" w:tblpY="-10"/>
        <w:tblW w:w="9370" w:type="dxa"/>
        <w:tblLayout w:type="fixed"/>
        <w:tblLook w:val="0000"/>
      </w:tblPr>
      <w:tblGrid>
        <w:gridCol w:w="3986"/>
        <w:gridCol w:w="5384"/>
      </w:tblGrid>
      <w:tr w:rsidR="00000000" w:rsidTr="002F1A7B">
        <w:trPr>
          <w:trHeight w:val="377"/>
        </w:trPr>
        <w:tc>
          <w:tcPr>
            <w:tcW w:w="3986" w:type="dxa"/>
            <w:shd w:val="clear" w:color="auto" w:fill="auto"/>
          </w:tcPr>
          <w:p w:rsidR="00000000" w:rsidRDefault="0017741E">
            <w:pPr>
              <w:widowControl w:val="0"/>
              <w:tabs>
                <w:tab w:val="right" w:pos="-2520"/>
              </w:tabs>
              <w:ind w:left="-108" w:right="-62"/>
            </w:pPr>
          </w:p>
        </w:tc>
        <w:tc>
          <w:tcPr>
            <w:tcW w:w="5384" w:type="dxa"/>
            <w:shd w:val="clear" w:color="auto" w:fill="auto"/>
          </w:tcPr>
          <w:p w:rsidR="00000000" w:rsidRDefault="0017741E">
            <w:pPr>
              <w:ind w:right="350"/>
              <w:rPr>
                <w:rFonts w:ascii="PT Serif" w:eastAsia="Calibri" w:hAnsi="PT Serif" w:cs="PT Serif"/>
                <w:b/>
                <w:sz w:val="28"/>
                <w:szCs w:val="28"/>
                <w:lang w:eastAsia="en-US"/>
              </w:rPr>
            </w:pPr>
          </w:p>
        </w:tc>
      </w:tr>
    </w:tbl>
    <w:p w:rsidR="00000000" w:rsidRDefault="0017741E">
      <w:pPr>
        <w:pStyle w:val="af8"/>
        <w:tabs>
          <w:tab w:val="left" w:pos="1594"/>
        </w:tabs>
        <w:contextualSpacing/>
        <w:jc w:val="both"/>
        <w:rPr>
          <w:rFonts w:ascii="PT Astra Serif" w:hAnsi="PT Astra Serif" w:cs="PT Serif"/>
          <w:b/>
          <w:bCs/>
          <w:szCs w:val="28"/>
        </w:rPr>
      </w:pPr>
    </w:p>
    <w:p w:rsidR="00000000" w:rsidRDefault="0017741E">
      <w:pPr>
        <w:pStyle w:val="af8"/>
        <w:tabs>
          <w:tab w:val="left" w:pos="1594"/>
        </w:tabs>
        <w:spacing w:before="120"/>
        <w:contextualSpacing/>
        <w:rPr>
          <w:rFonts w:ascii="PT Astra Serif" w:hAnsi="PT Astra Serif" w:cs="PT Serif"/>
          <w:b/>
          <w:szCs w:val="28"/>
        </w:rPr>
      </w:pPr>
      <w:r>
        <w:rPr>
          <w:rFonts w:ascii="PT Astra Serif" w:hAnsi="PT Astra Serif" w:cs="PT Serif"/>
          <w:b/>
          <w:szCs w:val="28"/>
        </w:rPr>
        <w:t xml:space="preserve">Об услугах </w:t>
      </w:r>
      <w:proofErr w:type="gramStart"/>
      <w:r>
        <w:rPr>
          <w:rFonts w:ascii="PT Astra Serif" w:hAnsi="PT Astra Serif" w:cs="PT Serif"/>
          <w:b/>
          <w:szCs w:val="28"/>
        </w:rPr>
        <w:t>Регионального</w:t>
      </w:r>
      <w:proofErr w:type="gramEnd"/>
      <w:r>
        <w:rPr>
          <w:rFonts w:ascii="PT Astra Serif" w:hAnsi="PT Astra Serif" w:cs="PT Serif"/>
          <w:b/>
          <w:szCs w:val="28"/>
        </w:rPr>
        <w:t xml:space="preserve"> </w:t>
      </w:r>
    </w:p>
    <w:p w:rsidR="00000000" w:rsidRDefault="0017741E">
      <w:pPr>
        <w:pStyle w:val="af8"/>
        <w:tabs>
          <w:tab w:val="left" w:pos="1594"/>
        </w:tabs>
        <w:spacing w:before="120"/>
        <w:contextualSpacing/>
        <w:rPr>
          <w:rFonts w:ascii="PT Astra Serif" w:hAnsi="PT Astra Serif" w:cs="PT Astra Serif"/>
          <w:b/>
          <w:szCs w:val="28"/>
        </w:rPr>
      </w:pPr>
      <w:r>
        <w:rPr>
          <w:rFonts w:ascii="PT Astra Serif" w:hAnsi="PT Astra Serif" w:cs="PT Serif"/>
          <w:b/>
          <w:szCs w:val="28"/>
        </w:rPr>
        <w:t>центра инжиниринга</w:t>
      </w:r>
    </w:p>
    <w:p w:rsidR="00000000" w:rsidRDefault="0017741E">
      <w:pPr>
        <w:pStyle w:val="af8"/>
        <w:tabs>
          <w:tab w:val="left" w:pos="1594"/>
        </w:tabs>
        <w:spacing w:before="120"/>
        <w:contextualSpacing/>
        <w:rPr>
          <w:rFonts w:ascii="PT Astra Serif" w:hAnsi="PT Astra Serif" w:cs="PT Astra Serif"/>
          <w:b/>
          <w:szCs w:val="28"/>
        </w:rPr>
      </w:pP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В рамках национального проекта «Эффективная и конкурентная экономика» Региональный центр инжиниринга (РЦИ) </w:t>
      </w:r>
      <w:r>
        <w:rPr>
          <w:rFonts w:ascii="PT Astra Serif" w:hAnsi="PT Astra Serif" w:cs="PT Serif"/>
          <w:bCs/>
          <w:color w:val="000000"/>
          <w:szCs w:val="28"/>
        </w:rPr>
        <w:t>(далее - Центр)</w:t>
      </w:r>
      <w:r>
        <w:rPr>
          <w:rFonts w:ascii="PT Astra Serif" w:hAnsi="PT Astra Serif" w:cs="PT Serif"/>
          <w:bCs/>
          <w:color w:val="000000"/>
          <w:szCs w:val="28"/>
        </w:rPr>
        <w:t>, являющийся стру</w:t>
      </w:r>
      <w:r>
        <w:rPr>
          <w:rFonts w:ascii="PT Astra Serif" w:hAnsi="PT Astra Serif" w:cs="PT Serif"/>
          <w:bCs/>
          <w:color w:val="000000"/>
          <w:szCs w:val="28"/>
        </w:rPr>
        <w:t>ктурной единицей Общества с ограниченной ответственностью «Бизнес -  инкубатор Саратовской области» оказывает поддержку субъектам малого и среднего предпринимательства сферы промышленного инжиниринга и сельскохозяйственного производства, которые зарегистри</w:t>
      </w:r>
      <w:r>
        <w:rPr>
          <w:rFonts w:ascii="PT Astra Serif" w:hAnsi="PT Astra Serif" w:cs="PT Serif"/>
          <w:bCs/>
          <w:color w:val="000000"/>
          <w:szCs w:val="28"/>
        </w:rPr>
        <w:t xml:space="preserve">рованы и осуществляют деятельность на территории Саратовской области в соответствии с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В 2026 году Центром оказывается п</w:t>
      </w:r>
      <w:r>
        <w:rPr>
          <w:rFonts w:ascii="PT Astra Serif" w:hAnsi="PT Astra Serif" w:cs="PT Serif"/>
          <w:bCs/>
          <w:color w:val="000000"/>
          <w:szCs w:val="28"/>
        </w:rPr>
        <w:t>оддержка по следующим видам услуг: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- </w:t>
      </w:r>
      <w:r>
        <w:rPr>
          <w:rFonts w:ascii="PT Astra Serif" w:hAnsi="PT Astra Serif" w:cs="PT Serif"/>
          <w:bCs/>
          <w:color w:val="000000"/>
          <w:szCs w:val="28"/>
        </w:rPr>
        <w:t>с</w:t>
      </w:r>
      <w:r>
        <w:rPr>
          <w:rFonts w:ascii="PT Astra Serif" w:hAnsi="PT Astra Serif" w:cs="PT Serif"/>
          <w:bCs/>
          <w:color w:val="000000"/>
          <w:szCs w:val="28"/>
        </w:rPr>
        <w:t>ертификация и декларирование продукции;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- </w:t>
      </w:r>
      <w:r>
        <w:rPr>
          <w:rFonts w:ascii="PT Astra Serif" w:hAnsi="PT Astra Serif" w:cs="PT Serif"/>
          <w:bCs/>
          <w:color w:val="000000"/>
          <w:szCs w:val="28"/>
        </w:rPr>
        <w:t>п</w:t>
      </w:r>
      <w:r>
        <w:rPr>
          <w:rFonts w:ascii="PT Astra Serif" w:hAnsi="PT Astra Serif" w:cs="PT Serif"/>
          <w:bCs/>
          <w:color w:val="000000"/>
          <w:szCs w:val="28"/>
        </w:rPr>
        <w:t>роведение исследований и лабораторных испытаний;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- </w:t>
      </w:r>
      <w:r>
        <w:rPr>
          <w:rFonts w:ascii="PT Astra Serif" w:hAnsi="PT Astra Serif" w:cs="PT Serif"/>
          <w:bCs/>
          <w:color w:val="000000"/>
          <w:szCs w:val="28"/>
        </w:rPr>
        <w:t>а</w:t>
      </w:r>
      <w:r>
        <w:rPr>
          <w:rFonts w:ascii="PT Astra Serif" w:hAnsi="PT Astra Serif" w:cs="PT Serif"/>
          <w:bCs/>
          <w:color w:val="000000"/>
          <w:szCs w:val="28"/>
        </w:rPr>
        <w:t>удит предприятий;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- </w:t>
      </w:r>
      <w:r>
        <w:rPr>
          <w:rFonts w:ascii="PT Astra Serif" w:hAnsi="PT Astra Serif" w:cs="PT Serif"/>
          <w:bCs/>
          <w:color w:val="000000"/>
          <w:szCs w:val="28"/>
        </w:rPr>
        <w:t>п</w:t>
      </w:r>
      <w:r>
        <w:rPr>
          <w:rFonts w:ascii="PT Astra Serif" w:hAnsi="PT Astra Serif" w:cs="PT Serif"/>
          <w:bCs/>
          <w:color w:val="000000"/>
          <w:szCs w:val="28"/>
        </w:rPr>
        <w:t>атентование и защита интеллектуальной собственности;</w:t>
      </w:r>
    </w:p>
    <w:p w:rsidR="00000000" w:rsidRDefault="0017741E">
      <w:pPr>
        <w:pStyle w:val="af8"/>
        <w:tabs>
          <w:tab w:val="left" w:pos="567"/>
        </w:tabs>
        <w:ind w:left="-426" w:firstLine="710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- </w:t>
      </w:r>
      <w:r>
        <w:rPr>
          <w:rFonts w:ascii="PT Astra Serif" w:hAnsi="PT Astra Serif" w:cs="PT Serif"/>
          <w:bCs/>
          <w:color w:val="000000"/>
          <w:szCs w:val="28"/>
        </w:rPr>
        <w:t>д</w:t>
      </w:r>
      <w:r>
        <w:rPr>
          <w:rFonts w:ascii="PT Astra Serif" w:hAnsi="PT Astra Serif" w:cs="PT Serif"/>
          <w:bCs/>
          <w:color w:val="000000"/>
          <w:szCs w:val="28"/>
        </w:rPr>
        <w:t>епонирование прав на результаты интеллектуальн</w:t>
      </w:r>
      <w:r>
        <w:rPr>
          <w:rFonts w:ascii="PT Astra Serif" w:hAnsi="PT Astra Serif" w:cs="PT Serif"/>
          <w:bCs/>
          <w:color w:val="000000"/>
          <w:szCs w:val="28"/>
        </w:rPr>
        <w:t>ой деятельности;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- </w:t>
      </w:r>
      <w:r>
        <w:rPr>
          <w:rFonts w:ascii="PT Astra Serif" w:hAnsi="PT Astra Serif" w:cs="PT Serif"/>
          <w:bCs/>
          <w:color w:val="000000"/>
          <w:szCs w:val="28"/>
        </w:rPr>
        <w:t>к</w:t>
      </w:r>
      <w:r>
        <w:rPr>
          <w:rFonts w:ascii="PT Astra Serif" w:hAnsi="PT Astra Serif" w:cs="PT Serif"/>
          <w:bCs/>
          <w:color w:val="000000"/>
          <w:szCs w:val="28"/>
        </w:rPr>
        <w:t>онсультационные услуги по регистрации и работе в системе «Честный знак» для производителей.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Инжиниринговые услуги предоставляются на условиях </w:t>
      </w:r>
      <w:proofErr w:type="spellStart"/>
      <w:r>
        <w:rPr>
          <w:rFonts w:ascii="PT Astra Serif" w:hAnsi="PT Astra Serif" w:cs="PT Serif"/>
          <w:bCs/>
          <w:color w:val="000000"/>
          <w:szCs w:val="28"/>
        </w:rPr>
        <w:t>софинансирования</w:t>
      </w:r>
      <w:proofErr w:type="spellEnd"/>
      <w:r>
        <w:rPr>
          <w:rFonts w:ascii="PT Astra Serif" w:hAnsi="PT Astra Serif" w:cs="PT Serif"/>
          <w:bCs/>
          <w:color w:val="000000"/>
          <w:szCs w:val="28"/>
        </w:rPr>
        <w:t xml:space="preserve"> до 50% на основании трехстороннего договора и выполняются профильными организ</w:t>
      </w:r>
      <w:r>
        <w:rPr>
          <w:rFonts w:ascii="PT Astra Serif" w:hAnsi="PT Astra Serif" w:cs="PT Serif"/>
          <w:bCs/>
          <w:color w:val="000000"/>
          <w:szCs w:val="28"/>
        </w:rPr>
        <w:t xml:space="preserve">ациями. 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Условием получения услуг предпринимателем является регистрация на цифровой платформе МСП (</w:t>
      </w:r>
      <w:proofErr w:type="spellStart"/>
      <w:r>
        <w:rPr>
          <w:rFonts w:ascii="PT Astra Serif" w:hAnsi="PT Astra Serif" w:cs="PT Serif"/>
          <w:bCs/>
          <w:color w:val="000000"/>
          <w:szCs w:val="28"/>
        </w:rPr>
        <w:t>мсп</w:t>
      </w:r>
      <w:proofErr w:type="gramStart"/>
      <w:r>
        <w:rPr>
          <w:rFonts w:ascii="PT Astra Serif" w:hAnsi="PT Astra Serif" w:cs="PT Serif"/>
          <w:bCs/>
          <w:color w:val="000000"/>
          <w:szCs w:val="28"/>
        </w:rPr>
        <w:t>.р</w:t>
      </w:r>
      <w:proofErr w:type="gramEnd"/>
      <w:r>
        <w:rPr>
          <w:rFonts w:ascii="PT Astra Serif" w:hAnsi="PT Astra Serif" w:cs="PT Serif"/>
          <w:bCs/>
          <w:color w:val="000000"/>
          <w:szCs w:val="28"/>
        </w:rPr>
        <w:t>ф</w:t>
      </w:r>
      <w:proofErr w:type="spellEnd"/>
      <w:r>
        <w:rPr>
          <w:rFonts w:ascii="PT Astra Serif" w:hAnsi="PT Astra Serif" w:cs="PT Serif"/>
          <w:bCs/>
          <w:color w:val="000000"/>
          <w:szCs w:val="28"/>
        </w:rPr>
        <w:t>), отсутствие у субъекта МСП процедуры ликвидации или решений арбитражных судов о признании несостоятельным (банкротом), а также отсутствие задолженнос</w:t>
      </w:r>
      <w:r>
        <w:rPr>
          <w:rFonts w:ascii="PT Astra Serif" w:hAnsi="PT Astra Serif" w:cs="PT Serif"/>
          <w:bCs/>
          <w:color w:val="000000"/>
          <w:szCs w:val="28"/>
        </w:rPr>
        <w:t>ти по уплате налогов, сборов, пеней и штрафов за нарушение законодательства РФ.</w:t>
      </w:r>
    </w:p>
    <w:p w:rsidR="00000000" w:rsidRDefault="0017741E">
      <w:pPr>
        <w:pStyle w:val="af8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С момента регистрации организации должно пройти не менее года.</w:t>
      </w:r>
    </w:p>
    <w:p w:rsidR="00000000" w:rsidRDefault="0017741E" w:rsidP="002F1A7B">
      <w:pPr>
        <w:pStyle w:val="af8"/>
        <w:tabs>
          <w:tab w:val="left" w:pos="851"/>
        </w:tabs>
        <w:ind w:left="283"/>
        <w:contextualSpacing/>
        <w:jc w:val="both"/>
        <w:rPr>
          <w:rFonts w:ascii="PT Astra Serif" w:hAnsi="PT Astra Serif" w:cs="PT Serif"/>
          <w:szCs w:val="28"/>
        </w:rPr>
      </w:pPr>
    </w:p>
    <w:p w:rsidR="00000000" w:rsidRDefault="0017741E">
      <w:pPr>
        <w:pStyle w:val="af8"/>
        <w:tabs>
          <w:tab w:val="left" w:pos="851"/>
        </w:tabs>
        <w:spacing w:line="276" w:lineRule="auto"/>
        <w:ind w:left="-426" w:firstLine="709"/>
        <w:contextualSpacing/>
        <w:jc w:val="both"/>
        <w:rPr>
          <w:rFonts w:ascii="PT Astra Serif" w:hAnsi="PT Astra Serif" w:cs="PT Serif"/>
          <w:szCs w:val="28"/>
        </w:rPr>
      </w:pPr>
      <w:r>
        <w:rPr>
          <w:rFonts w:ascii="PT Astra Serif" w:hAnsi="PT Astra Serif" w:cs="PT Serif"/>
          <w:szCs w:val="28"/>
        </w:rPr>
        <w:t xml:space="preserve">Контактное лицо по вопросам взаимодействия: Спасский Сергей Михайлович – начальник отдела </w:t>
      </w:r>
      <w:r>
        <w:rPr>
          <w:rFonts w:ascii="PT Astra Serif" w:hAnsi="PT Astra Serif" w:cs="PT Serif"/>
          <w:szCs w:val="28"/>
        </w:rPr>
        <w:t>Региональн</w:t>
      </w:r>
      <w:r>
        <w:rPr>
          <w:rFonts w:ascii="PT Astra Serif" w:hAnsi="PT Astra Serif" w:cs="PT Serif"/>
          <w:szCs w:val="28"/>
        </w:rPr>
        <w:t>ого</w:t>
      </w:r>
      <w:r>
        <w:rPr>
          <w:rFonts w:ascii="PT Astra Serif" w:hAnsi="PT Astra Serif" w:cs="PT Serif"/>
          <w:szCs w:val="28"/>
        </w:rPr>
        <w:t xml:space="preserve"> центр</w:t>
      </w:r>
      <w:r>
        <w:rPr>
          <w:rFonts w:ascii="PT Astra Serif" w:hAnsi="PT Astra Serif" w:cs="PT Serif"/>
          <w:szCs w:val="28"/>
        </w:rPr>
        <w:t>а</w:t>
      </w:r>
      <w:r>
        <w:rPr>
          <w:rFonts w:ascii="PT Astra Serif" w:hAnsi="PT Astra Serif" w:cs="PT Serif"/>
          <w:szCs w:val="28"/>
        </w:rPr>
        <w:t xml:space="preserve"> инжиниринга,                 тел.: </w:t>
      </w:r>
      <w:r>
        <w:rPr>
          <w:rFonts w:ascii="PT Astra Serif" w:hAnsi="PT Astra Serif" w:cs="PT Serif"/>
          <w:bCs/>
          <w:color w:val="000000"/>
          <w:szCs w:val="28"/>
        </w:rPr>
        <w:t>8 (8452) 24-54-78 (</w:t>
      </w:r>
      <w:proofErr w:type="spellStart"/>
      <w:r>
        <w:rPr>
          <w:rFonts w:ascii="PT Astra Serif" w:hAnsi="PT Astra Serif" w:cs="PT Serif"/>
          <w:bCs/>
          <w:color w:val="000000"/>
          <w:szCs w:val="28"/>
        </w:rPr>
        <w:t>доб</w:t>
      </w:r>
      <w:proofErr w:type="spellEnd"/>
      <w:r>
        <w:rPr>
          <w:rFonts w:ascii="PT Astra Serif" w:hAnsi="PT Astra Serif" w:cs="PT Serif"/>
          <w:bCs/>
          <w:color w:val="000000"/>
          <w:szCs w:val="28"/>
        </w:rPr>
        <w:t>. 102, 300)</w:t>
      </w:r>
    </w:p>
    <w:p w:rsidR="0017741E" w:rsidRDefault="0017741E">
      <w:pPr>
        <w:pStyle w:val="af8"/>
        <w:tabs>
          <w:tab w:val="left" w:pos="851"/>
        </w:tabs>
        <w:spacing w:line="276" w:lineRule="auto"/>
        <w:ind w:left="-426" w:firstLine="709"/>
        <w:contextualSpacing/>
        <w:jc w:val="both"/>
        <w:rPr>
          <w:rFonts w:ascii="PT Astra Serif" w:hAnsi="PT Astra Serif" w:cs="PT Serif"/>
          <w:szCs w:val="28"/>
        </w:rPr>
      </w:pPr>
    </w:p>
    <w:sectPr w:rsidR="0017741E">
      <w:pgSz w:w="11906" w:h="16838"/>
      <w:pgMar w:top="649" w:right="851" w:bottom="425" w:left="207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charset w:val="01"/>
    <w:family w:val="auto"/>
    <w:pitch w:val="variable"/>
    <w:sig w:usb0="00000000" w:usb1="00000000" w:usb2="00000000" w:usb3="00000000" w:csb0="00000000" w:csb1="00000000"/>
  </w:font>
  <w:font w:name="PT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2F1A7B"/>
    <w:rsid w:val="0017741E"/>
    <w:rsid w:val="002F1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Arial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eastAsia="Times New Roman" w:hAnsi="Times New Roman" w:cs="Arial"/>
    </w:rPr>
  </w:style>
  <w:style w:type="character" w:customStyle="1" w:styleId="WW8Num6z0">
    <w:name w:val="WW8Num6z0"/>
    <w:rPr>
      <w:rFonts w:ascii="Times New Roman" w:eastAsia="Times New Roman" w:hAnsi="Times New Roman" w:cs="Aria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  <w:color w:val="323232"/>
    </w:rPr>
  </w:style>
  <w:style w:type="character" w:customStyle="1" w:styleId="WW8Num11z1">
    <w:name w:val="WW8Num11z1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Times New Roman" w:eastAsia="Times New Roman" w:hAnsi="Times New Roman" w:cs="Arial" w:hint="default"/>
    </w:rPr>
  </w:style>
  <w:style w:type="character" w:customStyle="1" w:styleId="WW8Num16z0">
    <w:name w:val="WW8Num16z0"/>
    <w:rPr>
      <w:rFonts w:ascii="Times New Roman" w:eastAsia="Times New Roman" w:hAnsi="Times New Roman" w:cs="Aria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MS Gothic" w:eastAsia="MS Gothic" w:hAnsi="MS Gothic" w:cs="MS Gothic" w:hint="eastAsia"/>
      <w:color w:val="141515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ascii="Times New Roman" w:eastAsia="Times New Roman" w:hAnsi="Times New Roman" w:cs="Arial" w:hint="default"/>
    </w:rPr>
  </w:style>
  <w:style w:type="character" w:customStyle="1" w:styleId="WW8Num25z0">
    <w:name w:val="WW8Num25z0"/>
    <w:rPr>
      <w:rFonts w:ascii="MS Gothic" w:eastAsia="MS Gothic" w:hAnsi="MS Gothic" w:cs="MS Gothic" w:hint="eastAsia"/>
      <w:color w:val="141515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ascii="Times New Roman" w:eastAsia="Times New Roman" w:hAnsi="Times New Roman" w:cs="Arial"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3">
    <w:name w:val="Основной текст 3 Знак"/>
    <w:rPr>
      <w:rFonts w:ascii="Times New Roman" w:hAnsi="Times New Roman" w:cs="Times New Roman"/>
      <w:sz w:val="28"/>
      <w:szCs w:val="24"/>
    </w:rPr>
  </w:style>
  <w:style w:type="character" w:customStyle="1" w:styleId="11">
    <w:name w:val="Заголовок 1 Знак"/>
    <w:rPr>
      <w:rFonts w:ascii="Arial" w:hAnsi="Arial" w:cs="Arial"/>
      <w:b/>
      <w:bCs/>
      <w:color w:val="000080"/>
      <w:sz w:val="24"/>
      <w:szCs w:val="24"/>
    </w:rPr>
  </w:style>
  <w:style w:type="character" w:customStyle="1" w:styleId="a5">
    <w:name w:val="Гипертекстовая ссылка"/>
    <w:rPr>
      <w:color w:val="106BBE"/>
    </w:rPr>
  </w:style>
  <w:style w:type="character" w:styleId="a6">
    <w:name w:val="Strong"/>
    <w:qFormat/>
    <w:rPr>
      <w:b/>
      <w:bCs/>
    </w:rPr>
  </w:style>
  <w:style w:type="character" w:styleId="a7">
    <w:name w:val="Emphasis"/>
    <w:qFormat/>
    <w:rPr>
      <w:i/>
      <w:iCs/>
    </w:rPr>
  </w:style>
  <w:style w:type="character" w:customStyle="1" w:styleId="a8">
    <w:name w:val="Верхний колонтитул Знак"/>
    <w:rPr>
      <w:rFonts w:ascii="Times New Roman" w:hAnsi="Times New Roman" w:cs="Times New Roman"/>
      <w:sz w:val="28"/>
      <w:szCs w:val="24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9">
    <w:name w:val="Неразрешенное упоминание"/>
    <w:rPr>
      <w:color w:val="605E5C"/>
      <w:shd w:val="clear" w:color="auto" w:fill="E1DFDD"/>
    </w:rPr>
  </w:style>
  <w:style w:type="character" w:styleId="aa">
    <w:name w:val="FollowedHyperlink"/>
    <w:rPr>
      <w:color w:val="954F72"/>
      <w:u w:val="single"/>
    </w:rPr>
  </w:style>
  <w:style w:type="character" w:customStyle="1" w:styleId="ab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10"/>
  </w:style>
  <w:style w:type="character" w:styleId="ac">
    <w:name w:val="page number"/>
    <w:basedOn w:val="10"/>
  </w:style>
  <w:style w:type="character" w:customStyle="1" w:styleId="ad">
    <w:name w:val="Обычный (Интернет) Знак"/>
    <w:rPr>
      <w:rFonts w:ascii="Times New Roman" w:hAnsi="Times New Roman" w:cs="Times New Roman"/>
      <w:sz w:val="24"/>
      <w:szCs w:val="24"/>
    </w:rPr>
  </w:style>
  <w:style w:type="character" w:customStyle="1" w:styleId="ae">
    <w:name w:val="Без интервала Знак"/>
    <w:rPr>
      <w:sz w:val="22"/>
      <w:szCs w:val="22"/>
    </w:rPr>
  </w:style>
  <w:style w:type="character" w:customStyle="1" w:styleId="20">
    <w:name w:val="Заголовок 2 Знак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Arial" w:eastAsia="Tahoma" w:hAnsi="Arial" w:cs="Droid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Droid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Droid Sans Devanagari"/>
    </w:rPr>
  </w:style>
  <w:style w:type="paragraph" w:styleId="af3">
    <w:name w:val="No Spacing"/>
    <w:qFormat/>
    <w:pPr>
      <w:suppressAutoHyphens/>
    </w:pPr>
    <w:rPr>
      <w:rFonts w:ascii="Calibri" w:hAnsi="Calibri"/>
      <w:sz w:val="22"/>
      <w:szCs w:val="22"/>
      <w:lang w:eastAsia="zh-CN"/>
    </w:rPr>
  </w:style>
  <w:style w:type="paragraph" w:styleId="af4">
    <w:name w:val="Balloon Text"/>
    <w:basedOn w:val="a"/>
    <w:rPr>
      <w:rFonts w:ascii="Tahoma" w:hAnsi="Tahoma" w:cs="Tahoma"/>
      <w:sz w:val="16"/>
      <w:szCs w:val="16"/>
      <w:lang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af5">
    <w:name w:val="Обычный (Интернет)"/>
    <w:basedOn w:val="a"/>
    <w:pPr>
      <w:spacing w:before="280" w:after="119"/>
    </w:pPr>
  </w:style>
  <w:style w:type="paragraph" w:customStyle="1" w:styleId="31">
    <w:name w:val="Основной текст 31"/>
    <w:basedOn w:val="a"/>
    <w:pPr>
      <w:spacing w:line="360" w:lineRule="auto"/>
      <w:jc w:val="both"/>
    </w:pPr>
    <w:rPr>
      <w:sz w:val="28"/>
      <w:lang/>
    </w:rPr>
  </w:style>
  <w:style w:type="paragraph" w:styleId="af6">
    <w:name w:val="List Paragraph"/>
    <w:basedOn w:val="a"/>
    <w:qFormat/>
    <w:pPr>
      <w:ind w:left="720"/>
      <w:contextualSpacing/>
    </w:pPr>
    <w:rPr>
      <w:rFonts w:ascii="Calibri" w:hAnsi="Calibri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sz w:val="24"/>
      <w:szCs w:val="24"/>
      <w:lang w:eastAsia="zh-CN"/>
    </w:rPr>
  </w:style>
  <w:style w:type="paragraph" w:customStyle="1" w:styleId="af7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8">
    <w:name w:val="header"/>
    <w:basedOn w:val="a"/>
    <w:pPr>
      <w:tabs>
        <w:tab w:val="center" w:pos="4844"/>
        <w:tab w:val="right" w:pos="9689"/>
      </w:tabs>
    </w:pPr>
    <w:rPr>
      <w:sz w:val="28"/>
    </w:rPr>
  </w:style>
  <w:style w:type="paragraph" w:styleId="af9">
    <w:name w:val="footer"/>
    <w:basedOn w:val="a"/>
    <w:pPr>
      <w:tabs>
        <w:tab w:val="center" w:pos="4677"/>
        <w:tab w:val="right" w:pos="9355"/>
      </w:tabs>
    </w:pPr>
  </w:style>
  <w:style w:type="paragraph" w:customStyle="1" w:styleId="afa">
    <w:name w:val="Содержимое врезки"/>
    <w:basedOn w:val="a"/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2</cp:revision>
  <cp:lastPrinted>2026-04-08T12:47:00Z</cp:lastPrinted>
  <dcterms:created xsi:type="dcterms:W3CDTF">2026-04-15T06:50:00Z</dcterms:created>
  <dcterms:modified xsi:type="dcterms:W3CDTF">2026-04-15T06:50:00Z</dcterms:modified>
</cp:coreProperties>
</file>