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32"/>
        </w:rPr>
      </w:pPr>
      <w:r w:rsidRPr="00ED79E5">
        <w:rPr>
          <w:rFonts w:ascii="PT Astra Serif" w:hAnsi="PT Astra Serif"/>
          <w:noProof/>
          <w:sz w:val="24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32"/>
        </w:rPr>
      </w:pP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b/>
          <w:caps/>
          <w:sz w:val="30"/>
          <w:szCs w:val="32"/>
        </w:rPr>
      </w:pPr>
      <w:r w:rsidRPr="00ED79E5">
        <w:rPr>
          <w:rFonts w:ascii="PT Astra Serif" w:hAnsi="PT Astra Serif"/>
          <w:b/>
          <w:caps/>
          <w:sz w:val="30"/>
          <w:szCs w:val="32"/>
        </w:rPr>
        <w:t>АДМИНИСТРАЦИя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b/>
          <w:caps/>
          <w:sz w:val="30"/>
          <w:szCs w:val="32"/>
        </w:rPr>
      </w:pPr>
      <w:r w:rsidRPr="00ED79E5">
        <w:rPr>
          <w:rFonts w:ascii="PT Astra Serif" w:hAnsi="PT Astra Serif"/>
          <w:b/>
          <w:caps/>
          <w:sz w:val="30"/>
          <w:szCs w:val="32"/>
        </w:rPr>
        <w:t>Базарно-Карабулакского МУНИЦИПАЛЬНОГО района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b/>
          <w:caps/>
          <w:sz w:val="30"/>
          <w:szCs w:val="32"/>
        </w:rPr>
      </w:pPr>
      <w:r w:rsidRPr="00ED79E5">
        <w:rPr>
          <w:rFonts w:ascii="PT Astra Serif" w:hAnsi="PT Astra Serif"/>
          <w:b/>
          <w:caps/>
          <w:sz w:val="30"/>
          <w:szCs w:val="32"/>
        </w:rPr>
        <w:t>Саратовской области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b/>
          <w:sz w:val="30"/>
          <w:szCs w:val="32"/>
        </w:rPr>
      </w:pP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b/>
          <w:caps/>
          <w:sz w:val="30"/>
          <w:szCs w:val="32"/>
        </w:rPr>
      </w:pPr>
      <w:r w:rsidRPr="00ED79E5">
        <w:rPr>
          <w:rFonts w:ascii="PT Astra Serif" w:hAnsi="PT Astra Serif"/>
          <w:b/>
          <w:caps/>
          <w:sz w:val="30"/>
          <w:szCs w:val="32"/>
        </w:rPr>
        <w:t>ПОСТАНОВЛЕНИЕ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32"/>
        </w:rPr>
      </w:pPr>
    </w:p>
    <w:p w:rsidR="002D1734" w:rsidRPr="00ED79E5" w:rsidRDefault="002D1734" w:rsidP="002D1734">
      <w:pPr>
        <w:pStyle w:val="a3"/>
        <w:spacing w:after="0" w:line="240" w:lineRule="auto"/>
        <w:rPr>
          <w:rFonts w:ascii="PT Astra Serif" w:hAnsi="PT Astra Serif"/>
          <w:sz w:val="24"/>
          <w:u w:val="single"/>
        </w:rPr>
      </w:pPr>
      <w:r w:rsidRPr="00ED79E5">
        <w:rPr>
          <w:rFonts w:ascii="PT Astra Serif" w:hAnsi="PT Astra Serif"/>
          <w:sz w:val="24"/>
        </w:rPr>
        <w:t>От</w:t>
      </w:r>
      <w:r w:rsidR="0008232B" w:rsidRPr="00ED79E5">
        <w:rPr>
          <w:rFonts w:ascii="PT Astra Serif" w:hAnsi="PT Astra Serif"/>
          <w:sz w:val="24"/>
        </w:rPr>
        <w:t xml:space="preserve">  </w:t>
      </w:r>
      <w:r w:rsidR="00EB23B9">
        <w:rPr>
          <w:rFonts w:ascii="PT Astra Serif" w:hAnsi="PT Astra Serif"/>
          <w:sz w:val="24"/>
          <w:u w:val="single"/>
        </w:rPr>
        <w:t>05.02.2024г.</w:t>
      </w:r>
      <w:r w:rsidRPr="00ED79E5">
        <w:rPr>
          <w:rFonts w:ascii="PT Astra Serif" w:hAnsi="PT Astra Serif"/>
          <w:sz w:val="24"/>
        </w:rPr>
        <w:t xml:space="preserve">                                                                </w:t>
      </w:r>
      <w:r w:rsidR="00F24F14" w:rsidRPr="00ED79E5">
        <w:rPr>
          <w:rFonts w:ascii="PT Astra Serif" w:hAnsi="PT Astra Serif"/>
          <w:sz w:val="24"/>
        </w:rPr>
        <w:t xml:space="preserve">                    </w:t>
      </w:r>
      <w:r w:rsidR="00EB23B9">
        <w:rPr>
          <w:rFonts w:ascii="PT Astra Serif" w:hAnsi="PT Astra Serif"/>
          <w:sz w:val="24"/>
        </w:rPr>
        <w:t xml:space="preserve">                         </w:t>
      </w:r>
      <w:r w:rsidRPr="00ED79E5">
        <w:rPr>
          <w:rFonts w:ascii="PT Astra Serif" w:hAnsi="PT Astra Serif"/>
          <w:sz w:val="24"/>
        </w:rPr>
        <w:t xml:space="preserve"> №</w:t>
      </w:r>
      <w:r w:rsidR="00F24F14" w:rsidRPr="00ED79E5">
        <w:rPr>
          <w:rFonts w:ascii="PT Astra Serif" w:hAnsi="PT Astra Serif"/>
          <w:sz w:val="24"/>
        </w:rPr>
        <w:t xml:space="preserve">   </w:t>
      </w:r>
      <w:r w:rsidR="00F24F14" w:rsidRPr="00ED79E5">
        <w:rPr>
          <w:rFonts w:ascii="PT Astra Serif" w:hAnsi="PT Astra Serif"/>
          <w:sz w:val="24"/>
          <w:u w:val="single"/>
        </w:rPr>
        <w:t xml:space="preserve"> </w:t>
      </w:r>
      <w:r w:rsidR="00EB23B9">
        <w:rPr>
          <w:rFonts w:ascii="PT Astra Serif" w:hAnsi="PT Astra Serif"/>
          <w:sz w:val="24"/>
          <w:u w:val="single"/>
        </w:rPr>
        <w:t>105</w:t>
      </w:r>
      <w:r w:rsidR="00F24F14" w:rsidRPr="00ED79E5">
        <w:rPr>
          <w:rFonts w:ascii="PT Astra Serif" w:hAnsi="PT Astra Serif"/>
          <w:sz w:val="24"/>
          <w:u w:val="single"/>
        </w:rPr>
        <w:t xml:space="preserve">          </w:t>
      </w:r>
      <w:r w:rsidR="00F24F14" w:rsidRPr="00ED79E5">
        <w:rPr>
          <w:rFonts w:ascii="PT Astra Serif" w:hAnsi="PT Astra Serif"/>
          <w:sz w:val="24"/>
        </w:rPr>
        <w:t xml:space="preserve">            </w:t>
      </w:r>
      <w:r w:rsidR="00F24F14" w:rsidRPr="00ED79E5">
        <w:rPr>
          <w:rFonts w:ascii="PT Astra Serif" w:hAnsi="PT Astra Serif"/>
          <w:sz w:val="24"/>
          <w:u w:val="single"/>
        </w:rPr>
        <w:t xml:space="preserve">                      </w:t>
      </w:r>
      <w:r w:rsidR="00F24F14" w:rsidRPr="00ED79E5">
        <w:rPr>
          <w:rFonts w:ascii="PT Astra Serif" w:hAnsi="PT Astra Serif"/>
          <w:sz w:val="24"/>
        </w:rPr>
        <w:t xml:space="preserve">  </w:t>
      </w:r>
      <w:r w:rsidR="00F24F14" w:rsidRPr="00ED79E5">
        <w:rPr>
          <w:rFonts w:ascii="PT Astra Serif" w:hAnsi="PT Astra Serif"/>
          <w:sz w:val="24"/>
          <w:u w:val="single"/>
        </w:rPr>
        <w:t xml:space="preserve">                     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</w:rPr>
      </w:pP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</w:rPr>
      </w:pPr>
      <w:r w:rsidRPr="00ED79E5">
        <w:rPr>
          <w:rFonts w:ascii="PT Astra Serif" w:hAnsi="PT Astra Serif"/>
          <w:sz w:val="24"/>
        </w:rPr>
        <w:t>р.п. Базарный Карабулак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</w:rPr>
      </w:pPr>
    </w:p>
    <w:p w:rsidR="002D1734" w:rsidRPr="00ED79E5" w:rsidRDefault="002D1734" w:rsidP="002D1734">
      <w:pPr>
        <w:tabs>
          <w:tab w:val="left" w:pos="4678"/>
          <w:tab w:val="left" w:pos="5529"/>
          <w:tab w:val="left" w:pos="5812"/>
        </w:tabs>
        <w:spacing w:after="0" w:line="240" w:lineRule="auto"/>
        <w:ind w:right="3825"/>
        <w:rPr>
          <w:rFonts w:ascii="PT Astra Serif" w:hAnsi="PT Astra Serif" w:cs="Times New Roman"/>
          <w:b/>
          <w:sz w:val="24"/>
          <w:szCs w:val="24"/>
        </w:rPr>
      </w:pPr>
      <w:r w:rsidRPr="00ED79E5">
        <w:rPr>
          <w:rFonts w:ascii="PT Astra Serif" w:hAnsi="PT Astra Serif" w:cs="Times New Roman"/>
          <w:b/>
          <w:bCs/>
          <w:sz w:val="24"/>
          <w:szCs w:val="24"/>
        </w:rPr>
        <w:t xml:space="preserve">Об утверждении </w:t>
      </w:r>
      <w:r w:rsidRPr="00ED79E5">
        <w:rPr>
          <w:rFonts w:ascii="PT Astra Serif" w:hAnsi="PT Astra Serif" w:cs="Times New Roman"/>
          <w:b/>
          <w:sz w:val="24"/>
          <w:szCs w:val="24"/>
        </w:rPr>
        <w:t xml:space="preserve">карты рисков нарушения антимонопольного законодательства </w:t>
      </w:r>
      <w:r w:rsidRPr="00ED79E5">
        <w:rPr>
          <w:rFonts w:ascii="PT Astra Serif" w:hAnsi="PT Astra Serif" w:cs="Times New Roman"/>
          <w:b/>
          <w:bCs/>
          <w:sz w:val="24"/>
          <w:szCs w:val="24"/>
        </w:rPr>
        <w:t xml:space="preserve">(комплаенс - рисков) </w:t>
      </w:r>
      <w:r w:rsidRPr="00ED79E5">
        <w:rPr>
          <w:rFonts w:ascii="PT Astra Serif" w:hAnsi="PT Astra Serif" w:cs="Times New Roman"/>
          <w:b/>
          <w:sz w:val="24"/>
          <w:szCs w:val="24"/>
        </w:rPr>
        <w:t xml:space="preserve"> и плана мероприятий («дорожной карты») по снижению </w:t>
      </w:r>
      <w:r w:rsidRPr="00ED79E5">
        <w:rPr>
          <w:rFonts w:ascii="PT Astra Serif" w:hAnsi="PT Astra Serif" w:cs="Times New Roman"/>
          <w:b/>
          <w:bCs/>
          <w:sz w:val="24"/>
          <w:szCs w:val="24"/>
        </w:rPr>
        <w:t xml:space="preserve">рисков нарушения антимонопольного законодательства (комплаенс - рисков) </w:t>
      </w:r>
      <w:r w:rsidRPr="00ED79E5">
        <w:rPr>
          <w:rFonts w:ascii="PT Astra Serif" w:hAnsi="PT Astra Serif" w:cs="Times New Roman"/>
          <w:b/>
          <w:sz w:val="24"/>
          <w:szCs w:val="24"/>
        </w:rPr>
        <w:t>в администрации Базарно-Карабулакского муниципального района Саратовской области</w:t>
      </w:r>
      <w:r w:rsidR="003D144A">
        <w:rPr>
          <w:rFonts w:ascii="PT Astra Serif" w:hAnsi="PT Astra Serif" w:cs="Times New Roman"/>
          <w:b/>
          <w:sz w:val="24"/>
          <w:szCs w:val="24"/>
        </w:rPr>
        <w:t xml:space="preserve"> на 2024</w:t>
      </w:r>
      <w:r w:rsidRPr="00ED79E5"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p w:rsidR="002D1734" w:rsidRPr="00ED79E5" w:rsidRDefault="002D1734" w:rsidP="002D1734">
      <w:pPr>
        <w:spacing w:after="0" w:line="240" w:lineRule="auto"/>
        <w:jc w:val="both"/>
        <w:rPr>
          <w:rFonts w:ascii="PT Astra Serif" w:hAnsi="PT Astra Serif"/>
          <w:sz w:val="24"/>
          <w:szCs w:val="28"/>
        </w:rPr>
      </w:pPr>
    </w:p>
    <w:p w:rsidR="002D1734" w:rsidRPr="00ED79E5" w:rsidRDefault="002D1734" w:rsidP="002D1734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PT Astra Serif" w:hAnsi="PT Astra Serif" w:cs="Times New Roman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Базарно-Карабулакского муниципального района Саратовской области от 15.10.2019г. № 741 «О создании и организации системы внутреннего обеспечения соответствия требованиям антимонопольного законодательства», руководствуясь Уставом Базарно-Карабулакского муниципального района, администрация района ПОСТАНОВЛЯЕТ:</w:t>
      </w:r>
    </w:p>
    <w:p w:rsidR="002D1734" w:rsidRPr="00ED79E5" w:rsidRDefault="002D1734" w:rsidP="002D1734">
      <w:pPr>
        <w:pStyle w:val="20"/>
        <w:widowControl w:val="0"/>
        <w:shd w:val="clear" w:color="auto" w:fill="auto"/>
        <w:tabs>
          <w:tab w:val="left" w:pos="1044"/>
        </w:tabs>
        <w:spacing w:before="0"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>1.Утвердить прилагаемые:</w:t>
      </w:r>
    </w:p>
    <w:p w:rsidR="002D1734" w:rsidRPr="00ED79E5" w:rsidRDefault="002D1734" w:rsidP="002D173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36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 xml:space="preserve">-карту рисков нарушения антимонопольного законодательства </w:t>
      </w:r>
      <w:r w:rsidRPr="00ED79E5">
        <w:rPr>
          <w:rFonts w:ascii="PT Astra Serif" w:hAnsi="PT Astra Serif" w:cs="Times New Roman"/>
          <w:bCs/>
          <w:sz w:val="24"/>
          <w:szCs w:val="24"/>
        </w:rPr>
        <w:t xml:space="preserve">(комплаенс - рисков) </w:t>
      </w:r>
      <w:r w:rsidRPr="00ED79E5">
        <w:rPr>
          <w:rFonts w:ascii="PT Astra Serif" w:hAnsi="PT Astra Serif" w:cs="Times New Roman"/>
          <w:sz w:val="24"/>
          <w:szCs w:val="24"/>
        </w:rPr>
        <w:t xml:space="preserve">  в администрации Базарно-Карабулакского муниципального района Саратовской области</w:t>
      </w:r>
      <w:r w:rsidR="003D144A">
        <w:rPr>
          <w:rFonts w:ascii="PT Astra Serif" w:hAnsi="PT Astra Serif" w:cs="Times New Roman"/>
          <w:sz w:val="24"/>
          <w:szCs w:val="24"/>
        </w:rPr>
        <w:t xml:space="preserve"> на 2024</w:t>
      </w:r>
      <w:r w:rsidR="00DB278C" w:rsidRPr="00ED79E5">
        <w:rPr>
          <w:rFonts w:ascii="PT Astra Serif" w:hAnsi="PT Astra Serif" w:cs="Times New Roman"/>
          <w:sz w:val="24"/>
          <w:szCs w:val="24"/>
        </w:rPr>
        <w:t xml:space="preserve"> год</w:t>
      </w:r>
      <w:r w:rsidRPr="00ED79E5">
        <w:rPr>
          <w:rFonts w:ascii="PT Astra Serif" w:hAnsi="PT Astra Serif" w:cs="Times New Roman"/>
          <w:sz w:val="24"/>
          <w:szCs w:val="24"/>
        </w:rPr>
        <w:t xml:space="preserve">,  согласно приложению </w:t>
      </w:r>
      <w:r w:rsidR="00884B50">
        <w:rPr>
          <w:rFonts w:ascii="PT Astra Serif" w:hAnsi="PT Astra Serif" w:cs="Times New Roman"/>
          <w:sz w:val="24"/>
          <w:szCs w:val="24"/>
        </w:rPr>
        <w:t>№</w:t>
      </w:r>
      <w:r w:rsidRPr="00ED79E5">
        <w:rPr>
          <w:rFonts w:ascii="PT Astra Serif" w:hAnsi="PT Astra Serif" w:cs="Times New Roman"/>
          <w:sz w:val="24"/>
          <w:szCs w:val="24"/>
        </w:rPr>
        <w:t>1 к настоящему постановлению.</w:t>
      </w:r>
    </w:p>
    <w:p w:rsidR="002D1734" w:rsidRPr="00ED79E5" w:rsidRDefault="002D1734" w:rsidP="002D173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 xml:space="preserve">-план мероприятий («дорожную карту») по снижению </w:t>
      </w:r>
      <w:r w:rsidRPr="00ED79E5">
        <w:rPr>
          <w:rFonts w:ascii="PT Astra Serif" w:hAnsi="PT Astra Serif" w:cs="Times New Roman"/>
          <w:bCs/>
          <w:sz w:val="24"/>
          <w:szCs w:val="24"/>
        </w:rPr>
        <w:t>рисков нарушения антимонопольного законодательства (комплаенс - рисков) в</w:t>
      </w:r>
      <w:r w:rsidRPr="00ED79E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D79E5">
        <w:rPr>
          <w:rFonts w:ascii="PT Astra Serif" w:hAnsi="PT Astra Serif" w:cs="Times New Roman"/>
          <w:sz w:val="24"/>
          <w:szCs w:val="24"/>
        </w:rPr>
        <w:t>администрации Базарно-Карабулакского муниципального ра</w:t>
      </w:r>
      <w:r w:rsidR="00AF7080" w:rsidRPr="00ED79E5">
        <w:rPr>
          <w:rFonts w:ascii="PT Astra Serif" w:hAnsi="PT Astra Serif" w:cs="Times New Roman"/>
          <w:sz w:val="24"/>
          <w:szCs w:val="24"/>
        </w:rPr>
        <w:t>йона Саратовск</w:t>
      </w:r>
      <w:r w:rsidR="003D144A">
        <w:rPr>
          <w:rFonts w:ascii="PT Astra Serif" w:hAnsi="PT Astra Serif" w:cs="Times New Roman"/>
          <w:sz w:val="24"/>
          <w:szCs w:val="24"/>
        </w:rPr>
        <w:t>ой области на 2024</w:t>
      </w:r>
      <w:r w:rsidRPr="00ED79E5">
        <w:rPr>
          <w:rFonts w:ascii="PT Astra Serif" w:hAnsi="PT Astra Serif" w:cs="Times New Roman"/>
          <w:sz w:val="24"/>
          <w:szCs w:val="24"/>
        </w:rPr>
        <w:t xml:space="preserve"> год согласно приложению № 2 к настоящему постановлению.</w:t>
      </w:r>
    </w:p>
    <w:p w:rsidR="002D1734" w:rsidRPr="00ED79E5" w:rsidRDefault="002D1734" w:rsidP="002D1734">
      <w:pPr>
        <w:pStyle w:val="ConsPlusNormal"/>
        <w:tabs>
          <w:tab w:val="left" w:pos="5245"/>
          <w:tab w:val="left" w:pos="5387"/>
        </w:tabs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79E5">
        <w:rPr>
          <w:rFonts w:ascii="PT Astra Serif" w:eastAsia="Times New Roman" w:hAnsi="PT Astra Serif" w:cs="Times New Roman"/>
          <w:sz w:val="24"/>
          <w:szCs w:val="24"/>
        </w:rPr>
        <w:t xml:space="preserve">2. </w:t>
      </w:r>
      <w:r w:rsidRPr="00ED79E5">
        <w:rPr>
          <w:rFonts w:ascii="PT Astra Serif" w:hAnsi="PT Astra Serif" w:cs="Times New Roman"/>
          <w:sz w:val="24"/>
          <w:szCs w:val="24"/>
        </w:rPr>
        <w:t>Настоящее постановление  вступает в силу со дня его подписания и подлежит размещению на официальном сайте администрации Базарно-Карабулакского муниципального района в информационно-телекоммуникационной сети «Интернет».</w:t>
      </w:r>
      <w:r w:rsidRPr="00ED79E5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2D1734" w:rsidRPr="00ED79E5" w:rsidRDefault="002D1734" w:rsidP="002D173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Базарно-Карабулакского муниципального района Будеева И.А.</w:t>
      </w:r>
    </w:p>
    <w:p w:rsidR="004B6BCE" w:rsidRDefault="004B6BCE" w:rsidP="002D1734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2D1734" w:rsidRPr="00ED79E5" w:rsidRDefault="002D1734" w:rsidP="002D1734">
      <w:pPr>
        <w:pStyle w:val="ConsPlusNormal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Pr="00ED79E5">
        <w:rPr>
          <w:rFonts w:ascii="PT Astra Serif" w:eastAsia="Times New Roman" w:hAnsi="PT Astra Serif" w:cs="Times New Roman"/>
          <w:sz w:val="24"/>
          <w:szCs w:val="24"/>
        </w:rPr>
        <w:t xml:space="preserve">       </w:t>
      </w:r>
    </w:p>
    <w:p w:rsidR="002D1734" w:rsidRPr="00ED79E5" w:rsidRDefault="003D144A" w:rsidP="004B6BCE">
      <w:pPr>
        <w:pStyle w:val="ConsPlusNormal"/>
        <w:ind w:firstLine="0"/>
        <w:rPr>
          <w:rFonts w:ascii="PT Astra Serif" w:hAnsi="PT Astra Serif" w:cs="Times New Roman"/>
          <w:b/>
          <w:sz w:val="24"/>
          <w:szCs w:val="24"/>
        </w:rPr>
        <w:sectPr w:rsidR="002D1734" w:rsidRPr="00ED79E5" w:rsidSect="00C244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PT Astra Serif" w:hAnsi="PT Astra Serif" w:cs="Times New Roman"/>
          <w:b/>
          <w:sz w:val="24"/>
          <w:szCs w:val="24"/>
        </w:rPr>
        <w:t>Глава</w:t>
      </w:r>
      <w:r w:rsidR="002D1734" w:rsidRPr="00ED79E5">
        <w:rPr>
          <w:rFonts w:ascii="PT Astra Serif" w:hAnsi="PT Astra Serif" w:cs="Times New Roman"/>
          <w:b/>
          <w:sz w:val="24"/>
          <w:szCs w:val="24"/>
        </w:rPr>
        <w:t xml:space="preserve"> муниципального района                         </w:t>
      </w:r>
      <w:r>
        <w:rPr>
          <w:rFonts w:ascii="PT Astra Serif" w:hAnsi="PT Astra Serif" w:cs="Times New Roman"/>
          <w:b/>
          <w:sz w:val="24"/>
          <w:szCs w:val="24"/>
        </w:rPr>
        <w:t xml:space="preserve">          </w:t>
      </w:r>
      <w:r w:rsidR="002D1734" w:rsidRPr="00ED79E5">
        <w:rPr>
          <w:rFonts w:ascii="PT Astra Serif" w:hAnsi="PT Astra Serif" w:cs="Times New Roman"/>
          <w:b/>
          <w:sz w:val="24"/>
          <w:szCs w:val="24"/>
        </w:rPr>
        <w:t xml:space="preserve">          </w:t>
      </w:r>
      <w:r w:rsidR="004B6BCE">
        <w:rPr>
          <w:rFonts w:ascii="PT Astra Serif" w:hAnsi="PT Astra Serif" w:cs="Times New Roman"/>
          <w:b/>
          <w:sz w:val="24"/>
          <w:szCs w:val="24"/>
        </w:rPr>
        <w:t xml:space="preserve">                       </w:t>
      </w:r>
      <w:r w:rsidR="002D1734" w:rsidRPr="00ED79E5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="004B6BCE">
        <w:rPr>
          <w:rFonts w:ascii="PT Astra Serif" w:hAnsi="PT Astra Serif" w:cs="Times New Roman"/>
          <w:b/>
          <w:sz w:val="24"/>
          <w:szCs w:val="24"/>
        </w:rPr>
        <w:t>Н.В.Трошина</w:t>
      </w:r>
      <w:r w:rsidR="002D1734" w:rsidRPr="00ED79E5">
        <w:rPr>
          <w:rFonts w:ascii="PT Astra Serif" w:hAnsi="PT Astra Serif" w:cs="Times New Roman"/>
          <w:b/>
          <w:sz w:val="24"/>
          <w:szCs w:val="24"/>
        </w:rPr>
        <w:t xml:space="preserve">                   </w:t>
      </w:r>
      <w:r w:rsidR="004B6BCE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</w:p>
    <w:p w:rsidR="002D1734" w:rsidRPr="00ED79E5" w:rsidRDefault="002D1734" w:rsidP="002D173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D1734" w:rsidRPr="00ED79E5" w:rsidRDefault="002D1734" w:rsidP="002D1734">
      <w:pPr>
        <w:spacing w:after="0"/>
        <w:jc w:val="right"/>
        <w:rPr>
          <w:rFonts w:ascii="PT Astra Serif" w:hAnsi="PT Astra Serif" w:cs="Times New Roman"/>
        </w:rPr>
      </w:pPr>
      <w:r w:rsidRPr="00ED79E5">
        <w:rPr>
          <w:rFonts w:ascii="PT Astra Serif" w:hAnsi="PT Astra Serif" w:cs="Times New Roman"/>
        </w:rPr>
        <w:t>Приложение №1 к постановлению</w:t>
      </w:r>
    </w:p>
    <w:p w:rsidR="00F24F14" w:rsidRPr="00ED79E5" w:rsidRDefault="008A27B0" w:rsidP="00F24F14">
      <w:pPr>
        <w:spacing w:after="0"/>
        <w:jc w:val="right"/>
        <w:rPr>
          <w:rFonts w:ascii="PT Astra Serif" w:hAnsi="PT Astra Serif"/>
          <w:b/>
          <w:sz w:val="24"/>
        </w:rPr>
      </w:pPr>
      <w:r>
        <w:rPr>
          <w:rFonts w:ascii="PT Astra Serif" w:hAnsi="PT Astra Serif"/>
        </w:rPr>
        <w:t>от «05»</w:t>
      </w:r>
      <w:r w:rsidRPr="008A27B0">
        <w:rPr>
          <w:rFonts w:ascii="PT Astra Serif" w:hAnsi="PT Astra Serif"/>
          <w:u w:val="single"/>
        </w:rPr>
        <w:t>февраля  2024</w:t>
      </w:r>
      <w:r>
        <w:rPr>
          <w:rFonts w:ascii="PT Astra Serif" w:hAnsi="PT Astra Serif"/>
        </w:rPr>
        <w:t xml:space="preserve"> №</w:t>
      </w:r>
      <w:r w:rsidRPr="008A27B0">
        <w:rPr>
          <w:rFonts w:ascii="PT Astra Serif" w:hAnsi="PT Astra Serif"/>
          <w:u w:val="single"/>
        </w:rPr>
        <w:t>105</w:t>
      </w:r>
    </w:p>
    <w:p w:rsidR="00F24F14" w:rsidRPr="00ED79E5" w:rsidRDefault="00F24F14" w:rsidP="00F24F14">
      <w:pPr>
        <w:spacing w:after="0"/>
        <w:jc w:val="center"/>
        <w:rPr>
          <w:rFonts w:ascii="PT Astra Serif" w:hAnsi="PT Astra Serif"/>
          <w:b/>
          <w:sz w:val="24"/>
        </w:rPr>
      </w:pPr>
    </w:p>
    <w:p w:rsidR="002D1734" w:rsidRPr="00ED79E5" w:rsidRDefault="002D1734" w:rsidP="00F24F14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79E5">
        <w:rPr>
          <w:rFonts w:ascii="PT Astra Serif" w:hAnsi="PT Astra Serif" w:cs="Times New Roman"/>
          <w:b/>
          <w:sz w:val="24"/>
          <w:szCs w:val="24"/>
        </w:rPr>
        <w:t xml:space="preserve">Карта рисков нарушения антимонопольного законодательства </w:t>
      </w:r>
      <w:r w:rsidRPr="00ED79E5">
        <w:rPr>
          <w:rFonts w:ascii="PT Astra Serif" w:hAnsi="PT Astra Serif" w:cs="Times New Roman"/>
          <w:b/>
          <w:bCs/>
          <w:sz w:val="24"/>
          <w:szCs w:val="24"/>
        </w:rPr>
        <w:t>(комплаенс - рисков)</w:t>
      </w:r>
    </w:p>
    <w:p w:rsidR="002D1734" w:rsidRPr="00ED79E5" w:rsidRDefault="002D1734" w:rsidP="00F24F14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79E5">
        <w:rPr>
          <w:rFonts w:ascii="PT Astra Serif" w:hAnsi="PT Astra Serif" w:cs="Times New Roman"/>
          <w:b/>
          <w:sz w:val="24"/>
          <w:szCs w:val="24"/>
        </w:rPr>
        <w:t xml:space="preserve">в администрации Базарно-Карабулакского муниципального района Саратовской области </w:t>
      </w:r>
      <w:r w:rsidR="003D144A">
        <w:rPr>
          <w:rFonts w:ascii="PT Astra Serif" w:hAnsi="PT Astra Serif" w:cs="Times New Roman"/>
          <w:b/>
          <w:sz w:val="24"/>
          <w:szCs w:val="24"/>
        </w:rPr>
        <w:t>на 2024</w:t>
      </w:r>
      <w:r w:rsidR="00DB278C" w:rsidRPr="00ED79E5"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p w:rsidR="002D1734" w:rsidRPr="00ED79E5" w:rsidRDefault="002D1734" w:rsidP="002D1734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5"/>
        <w:tblW w:w="14891" w:type="dxa"/>
        <w:tblLayout w:type="fixed"/>
        <w:tblLook w:val="04A0"/>
      </w:tblPr>
      <w:tblGrid>
        <w:gridCol w:w="789"/>
        <w:gridCol w:w="1871"/>
        <w:gridCol w:w="2798"/>
        <w:gridCol w:w="3020"/>
        <w:gridCol w:w="3075"/>
        <w:gridCol w:w="1560"/>
        <w:gridCol w:w="1778"/>
      </w:tblGrid>
      <w:tr w:rsidR="002D1734" w:rsidRPr="00ED79E5" w:rsidTr="00692EE3">
        <w:tc>
          <w:tcPr>
            <w:tcW w:w="789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№</w:t>
            </w:r>
          </w:p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п/п</w:t>
            </w:r>
          </w:p>
        </w:tc>
        <w:tc>
          <w:tcPr>
            <w:tcW w:w="1871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Уровень риска</w:t>
            </w:r>
          </w:p>
        </w:tc>
        <w:tc>
          <w:tcPr>
            <w:tcW w:w="2798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Описание рисков</w:t>
            </w:r>
          </w:p>
        </w:tc>
        <w:tc>
          <w:tcPr>
            <w:tcW w:w="3020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Причины возникновения рисков и их оценка</w:t>
            </w:r>
          </w:p>
        </w:tc>
        <w:tc>
          <w:tcPr>
            <w:tcW w:w="3075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1560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1778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Вероятность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повторного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возникновения</w:t>
            </w:r>
          </w:p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рисков</w:t>
            </w:r>
          </w:p>
        </w:tc>
      </w:tr>
      <w:tr w:rsidR="00487AA1" w:rsidRPr="00ED79E5" w:rsidTr="00692EE3">
        <w:tc>
          <w:tcPr>
            <w:tcW w:w="789" w:type="dxa"/>
            <w:vAlign w:val="center"/>
          </w:tcPr>
          <w:p w:rsidR="00487AA1" w:rsidRPr="00ED79E5" w:rsidRDefault="00487AA1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871" w:type="dxa"/>
            <w:vAlign w:val="center"/>
          </w:tcPr>
          <w:p w:rsidR="00487AA1" w:rsidRPr="00ED79E5" w:rsidRDefault="004C191C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Низкий</w:t>
            </w:r>
          </w:p>
        </w:tc>
        <w:tc>
          <w:tcPr>
            <w:tcW w:w="2798" w:type="dxa"/>
          </w:tcPr>
          <w:p w:rsidR="00487AA1" w:rsidRPr="00ED79E5" w:rsidRDefault="00487AA1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</w:rPr>
              <w:t xml:space="preserve">Разработка проектов нормативных правовых актов, соглашений и осуществление действий (бездействия), которые могут привести к </w:t>
            </w:r>
            <w:r w:rsidR="0021464E" w:rsidRPr="00ED79E5">
              <w:rPr>
                <w:rFonts w:ascii="PT Astra Serif" w:hAnsi="PT Astra Serif" w:cs="Times New Roman"/>
              </w:rPr>
              <w:t>ущемлению интересов хозяйствующих субъектов</w:t>
            </w:r>
            <w:r w:rsidR="0021464E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</w:tcPr>
          <w:p w:rsidR="00487AA1" w:rsidRPr="00ED79E5" w:rsidRDefault="00487AA1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Недостаточная координация процесса разработки проекта нормативного правового акта</w:t>
            </w:r>
          </w:p>
          <w:p w:rsidR="00487AA1" w:rsidRPr="00ED79E5" w:rsidRDefault="00487AA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487AA1" w:rsidRPr="00ED79E5" w:rsidRDefault="004C191C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Ненадлежащий уровень правовой экспертизы проектов НПА на предмет соответствия нормам антимонопольного законодательства </w:t>
            </w:r>
          </w:p>
        </w:tc>
        <w:tc>
          <w:tcPr>
            <w:tcW w:w="3075" w:type="dxa"/>
            <w:vAlign w:val="center"/>
          </w:tcPr>
          <w:p w:rsidR="00487AA1" w:rsidRPr="00ED79E5" w:rsidRDefault="00487AA1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:rsidR="0054777C" w:rsidRPr="00ED79E5" w:rsidRDefault="0054777C" w:rsidP="00ED79E5">
            <w:pPr>
              <w:jc w:val="center"/>
              <w:rPr>
                <w:rFonts w:ascii="PT Astra Serif" w:hAnsi="PT Astra Serif" w:cs="Times New Roman"/>
              </w:rPr>
            </w:pPr>
          </w:p>
          <w:p w:rsidR="0054777C" w:rsidRPr="00ED79E5" w:rsidRDefault="0054777C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Мониторинг практики применения антимонопольного законодательства;</w:t>
            </w:r>
          </w:p>
          <w:p w:rsidR="00D94CEE" w:rsidRPr="00ED79E5" w:rsidRDefault="00D94CEE" w:rsidP="00ED79E5">
            <w:pPr>
              <w:rPr>
                <w:rFonts w:ascii="PT Astra Serif" w:hAnsi="PT Astra Serif" w:cs="Times New Roman"/>
              </w:rPr>
            </w:pPr>
          </w:p>
          <w:p w:rsidR="00487AA1" w:rsidRPr="00ED79E5" w:rsidRDefault="00D94CEE" w:rsidP="00ED79E5">
            <w:pPr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Ведение на официальном сайте Администрации разделов «Оценка регулирующего воздействия проектов НП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  <w:lang w:val="en-US" w:eastAsia="en-US" w:bidi="en-US"/>
              </w:rPr>
              <w:t>A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  <w:lang w:eastAsia="en-US" w:bidi="en-US"/>
              </w:rPr>
              <w:t xml:space="preserve"> 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и экспертиза НПА»</w:t>
            </w:r>
          </w:p>
        </w:tc>
        <w:tc>
          <w:tcPr>
            <w:tcW w:w="1560" w:type="dxa"/>
            <w:vAlign w:val="center"/>
          </w:tcPr>
          <w:p w:rsidR="00487AA1" w:rsidRPr="00ED79E5" w:rsidRDefault="00352139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Риск не возникал</w:t>
            </w:r>
          </w:p>
        </w:tc>
        <w:tc>
          <w:tcPr>
            <w:tcW w:w="1778" w:type="dxa"/>
            <w:vAlign w:val="center"/>
          </w:tcPr>
          <w:p w:rsidR="00487AA1" w:rsidRPr="00ED79E5" w:rsidRDefault="00352139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Сохраняется</w:t>
            </w:r>
          </w:p>
        </w:tc>
      </w:tr>
      <w:tr w:rsidR="002D1734" w:rsidRPr="00ED79E5" w:rsidTr="00692EE3">
        <w:tc>
          <w:tcPr>
            <w:tcW w:w="789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1871" w:type="dxa"/>
            <w:vAlign w:val="center"/>
          </w:tcPr>
          <w:p w:rsidR="002D1734" w:rsidRPr="00ED79E5" w:rsidRDefault="003D144A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Незначительный</w:t>
            </w:r>
          </w:p>
        </w:tc>
        <w:tc>
          <w:tcPr>
            <w:tcW w:w="2798" w:type="dxa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нужд;</w:t>
            </w:r>
          </w:p>
          <w:p w:rsidR="002D1734" w:rsidRPr="00ED79E5" w:rsidRDefault="00D94CEE" w:rsidP="00ED79E5">
            <w:pPr>
              <w:pStyle w:val="20"/>
              <w:shd w:val="clear" w:color="auto" w:fill="auto"/>
              <w:spacing w:before="280" w:after="28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Ограничение количества участников закупки</w:t>
            </w:r>
            <w:r w:rsidRPr="00ED79E5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Совершение    комиссией  по  осуществлению закупок действий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ограничивающих  конкуренцию</w:t>
            </w:r>
          </w:p>
        </w:tc>
        <w:tc>
          <w:tcPr>
            <w:tcW w:w="3020" w:type="dxa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Недостаточный опыт применения законодательства  о контрактной системе в  сфере  закупок</w:t>
            </w:r>
          </w:p>
        </w:tc>
        <w:tc>
          <w:tcPr>
            <w:tcW w:w="3075" w:type="dxa"/>
          </w:tcPr>
          <w:p w:rsidR="0054777C" w:rsidRPr="00ED79E5" w:rsidRDefault="008E3258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</w:t>
            </w:r>
            <w:r w:rsidR="002D1734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овышение профессиональной квалификации сотрудников в  сфере  закупок,  членов  комиссии по закупкам (</w:t>
            </w:r>
            <w:r w:rsidR="0054777C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программы повышения квалификации, семинары, </w:t>
            </w:r>
            <w:r w:rsidR="0054777C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 xml:space="preserve">вебинары, самообразование); </w:t>
            </w:r>
          </w:p>
          <w:p w:rsidR="002D1734" w:rsidRPr="00ED79E5" w:rsidRDefault="002D1734" w:rsidP="00847223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Изучение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1560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Остаточный риск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сохраняется, но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снижается</w:t>
            </w:r>
          </w:p>
        </w:tc>
        <w:tc>
          <w:tcPr>
            <w:tcW w:w="1778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Сохраняется</w:t>
            </w:r>
          </w:p>
        </w:tc>
      </w:tr>
      <w:tr w:rsidR="002D1734" w:rsidRPr="00ED79E5" w:rsidTr="00692EE3">
        <w:tc>
          <w:tcPr>
            <w:tcW w:w="789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lastRenderedPageBreak/>
              <w:t>3.</w:t>
            </w:r>
          </w:p>
        </w:tc>
        <w:tc>
          <w:tcPr>
            <w:tcW w:w="1871" w:type="dxa"/>
            <w:vAlign w:val="center"/>
          </w:tcPr>
          <w:p w:rsidR="002D1734" w:rsidRPr="00ED79E5" w:rsidRDefault="003D144A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Низкий</w:t>
            </w:r>
          </w:p>
        </w:tc>
        <w:tc>
          <w:tcPr>
            <w:tcW w:w="2798" w:type="dxa"/>
          </w:tcPr>
          <w:p w:rsidR="00A80F5E" w:rsidRPr="00ED79E5" w:rsidRDefault="00017F4C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Нарушение антимонопольного законодательства при оказании муниципальных услуг</w:t>
            </w:r>
            <w:r w:rsidR="00A80F5E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:</w:t>
            </w: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-взимание платы за предоставление муниципальной услуги, если такая плата не предусмотрена действующим законодательством;</w:t>
            </w: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законодательством;</w:t>
            </w: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-отказ в предоставлении муниципальной услуги;</w:t>
            </w: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2D1734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 -нарушение сроков 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3020" w:type="dxa"/>
          </w:tcPr>
          <w:p w:rsidR="00A80F5E" w:rsidRPr="00ED79E5" w:rsidRDefault="00A80F5E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lastRenderedPageBreak/>
              <w:t>Недостаточный уровень внутреннего контроля;</w:t>
            </w:r>
          </w:p>
          <w:p w:rsidR="00A80F5E" w:rsidRPr="00ED79E5" w:rsidRDefault="00A80F5E" w:rsidP="00ED79E5">
            <w:pPr>
              <w:jc w:val="center"/>
              <w:rPr>
                <w:rFonts w:ascii="PT Astra Serif" w:hAnsi="PT Astra Serif" w:cs="Times New Roman"/>
              </w:rPr>
            </w:pPr>
          </w:p>
          <w:p w:rsidR="00017F4C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Несоблюдение установленных процедур</w:t>
            </w:r>
          </w:p>
        </w:tc>
        <w:tc>
          <w:tcPr>
            <w:tcW w:w="3075" w:type="dxa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Соблюдение административных регламентов; 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Мониторинг и анализ выявленных нарушений</w:t>
            </w:r>
          </w:p>
        </w:tc>
        <w:tc>
          <w:tcPr>
            <w:tcW w:w="1560" w:type="dxa"/>
            <w:vAlign w:val="center"/>
          </w:tcPr>
          <w:p w:rsidR="002D1734" w:rsidRPr="00ED79E5" w:rsidRDefault="00352139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Риск не возникал</w:t>
            </w:r>
          </w:p>
        </w:tc>
        <w:tc>
          <w:tcPr>
            <w:tcW w:w="1778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Сохраняется</w:t>
            </w:r>
          </w:p>
        </w:tc>
      </w:tr>
      <w:tr w:rsidR="002D1734" w:rsidRPr="00ED79E5" w:rsidTr="002F3767">
        <w:trPr>
          <w:trHeight w:val="1257"/>
        </w:trPr>
        <w:tc>
          <w:tcPr>
            <w:tcW w:w="789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lastRenderedPageBreak/>
              <w:t>4.</w:t>
            </w:r>
          </w:p>
        </w:tc>
        <w:tc>
          <w:tcPr>
            <w:tcW w:w="1871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</w:rPr>
              <w:t>Существенный</w:t>
            </w:r>
          </w:p>
        </w:tc>
        <w:tc>
          <w:tcPr>
            <w:tcW w:w="2798" w:type="dxa"/>
          </w:tcPr>
          <w:p w:rsidR="00A80F5E" w:rsidRPr="00ED79E5" w:rsidRDefault="000E11D3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Н</w:t>
            </w:r>
            <w:r w:rsidR="002D1734" w:rsidRPr="00ED79E5">
              <w:rPr>
                <w:rFonts w:ascii="PT Astra Serif" w:hAnsi="PT Astra Serif" w:cs="Times New Roman"/>
              </w:rPr>
              <w:t>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  <w:r w:rsidR="00A80F5E" w:rsidRPr="00ED79E5">
              <w:rPr>
                <w:rFonts w:ascii="PT Astra Serif" w:hAnsi="PT Astra Serif" w:cs="Times New Roman"/>
              </w:rPr>
              <w:t>:</w:t>
            </w:r>
          </w:p>
          <w:p w:rsidR="00A80F5E" w:rsidRPr="00ED79E5" w:rsidRDefault="00A80F5E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 xml:space="preserve"> </w:t>
            </w:r>
          </w:p>
          <w:p w:rsidR="00A80F5E" w:rsidRPr="00ED79E5" w:rsidRDefault="00A80F5E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-заключение договоров аренды,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владение и (или) пользова</w:t>
            </w:r>
            <w:r w:rsidR="00ED79E5" w:rsidRPr="00ED79E5">
              <w:rPr>
                <w:rFonts w:ascii="PT Astra Serif" w:hAnsi="PT Astra Serif" w:cs="Times New Roman"/>
              </w:rPr>
              <w:t>ние муниципальной собственности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3020" w:type="dxa"/>
          </w:tcPr>
          <w:p w:rsidR="000E11D3" w:rsidRPr="00ED79E5" w:rsidRDefault="000E11D3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  <w:t>Недостаточный уровень внутреннего контроля;</w:t>
            </w:r>
          </w:p>
          <w:p w:rsidR="000E11D3" w:rsidRPr="00ED79E5" w:rsidRDefault="000E11D3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</w:p>
          <w:p w:rsidR="000E11D3" w:rsidRPr="00ED79E5" w:rsidRDefault="000E11D3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  <w:t>Недостаточная готовность к процедуре торгов</w:t>
            </w:r>
          </w:p>
        </w:tc>
        <w:tc>
          <w:tcPr>
            <w:tcW w:w="3075" w:type="dxa"/>
          </w:tcPr>
          <w:p w:rsidR="002D1734" w:rsidRPr="00ED79E5" w:rsidRDefault="002D1734" w:rsidP="002F3767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Мониторинг изменений законодательства в сфере имущественных отношений;</w:t>
            </w:r>
          </w:p>
          <w:p w:rsidR="002D1734" w:rsidRPr="00ED79E5" w:rsidRDefault="002D1734" w:rsidP="002F3767">
            <w:pPr>
              <w:jc w:val="center"/>
              <w:rPr>
                <w:rFonts w:ascii="PT Astra Serif" w:hAnsi="PT Astra Serif" w:cs="Times New Roman"/>
              </w:rPr>
            </w:pPr>
          </w:p>
          <w:p w:rsidR="002D1734" w:rsidRPr="00ED79E5" w:rsidRDefault="002D1734" w:rsidP="002F3767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Осуществление предварительного контроля документации на соответствие антимонопольному законодательству при распор</w:t>
            </w:r>
            <w:r w:rsidR="0021464E" w:rsidRPr="00ED79E5">
              <w:rPr>
                <w:rFonts w:ascii="PT Astra Serif" w:hAnsi="PT Astra Serif" w:cs="Times New Roman"/>
              </w:rPr>
              <w:t>яжении муниципальным имуществом</w:t>
            </w:r>
          </w:p>
          <w:p w:rsidR="002D1734" w:rsidRPr="00ED79E5" w:rsidRDefault="002D1734" w:rsidP="002F3767">
            <w:pPr>
              <w:jc w:val="center"/>
              <w:rPr>
                <w:rFonts w:ascii="PT Astra Serif" w:hAnsi="PT Astra Serif" w:cs="Times New Roman"/>
              </w:rPr>
            </w:pPr>
          </w:p>
          <w:p w:rsidR="002D1734" w:rsidRPr="00ED79E5" w:rsidRDefault="002D1734" w:rsidP="002F376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="Calibri" w:hAnsi="PT Astra Serif"/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778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="Calibri" w:hAnsi="PT Astra Serif"/>
                <w:sz w:val="22"/>
                <w:szCs w:val="22"/>
              </w:rPr>
              <w:t>Сохраняется</w:t>
            </w:r>
          </w:p>
        </w:tc>
      </w:tr>
    </w:tbl>
    <w:p w:rsidR="002D1734" w:rsidRPr="00ED79E5" w:rsidRDefault="002D1734" w:rsidP="002D1734">
      <w:pPr>
        <w:spacing w:after="0"/>
        <w:rPr>
          <w:rFonts w:ascii="PT Astra Serif" w:hAnsi="PT Astra Serif" w:cs="Times New Roman"/>
          <w:sz w:val="24"/>
          <w:szCs w:val="24"/>
        </w:rPr>
        <w:sectPr w:rsidR="002D1734" w:rsidRPr="00ED79E5" w:rsidSect="00DD00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734" w:rsidRPr="00ED79E5" w:rsidRDefault="002D1734" w:rsidP="002D1734">
      <w:pPr>
        <w:pStyle w:val="ConsPlusNormal"/>
        <w:ind w:firstLine="0"/>
        <w:jc w:val="right"/>
        <w:rPr>
          <w:rFonts w:ascii="PT Astra Serif" w:hAnsi="PT Astra Serif"/>
          <w:sz w:val="20"/>
        </w:rPr>
      </w:pPr>
      <w:r w:rsidRPr="00ED79E5">
        <w:rPr>
          <w:rFonts w:ascii="PT Astra Serif" w:hAnsi="PT Astra Serif"/>
          <w:sz w:val="20"/>
        </w:rPr>
        <w:lastRenderedPageBreak/>
        <w:t xml:space="preserve">                                                                           Приложение №2 к постановлению</w:t>
      </w:r>
    </w:p>
    <w:p w:rsidR="008A27B0" w:rsidRPr="00ED79E5" w:rsidRDefault="008A27B0" w:rsidP="008A27B0">
      <w:pPr>
        <w:spacing w:after="0"/>
        <w:jc w:val="right"/>
        <w:rPr>
          <w:rFonts w:ascii="PT Astra Serif" w:hAnsi="PT Astra Serif"/>
          <w:b/>
          <w:sz w:val="24"/>
        </w:rPr>
      </w:pPr>
      <w:r>
        <w:rPr>
          <w:rFonts w:ascii="PT Astra Serif" w:hAnsi="PT Astra Serif"/>
        </w:rPr>
        <w:t>от «05»</w:t>
      </w:r>
      <w:r w:rsidRPr="008A27B0">
        <w:rPr>
          <w:rFonts w:ascii="PT Astra Serif" w:hAnsi="PT Astra Serif"/>
          <w:u w:val="single"/>
        </w:rPr>
        <w:t>февраля  2024</w:t>
      </w:r>
      <w:r>
        <w:rPr>
          <w:rFonts w:ascii="PT Astra Serif" w:hAnsi="PT Astra Serif"/>
        </w:rPr>
        <w:t xml:space="preserve"> №</w:t>
      </w:r>
      <w:r w:rsidRPr="008A27B0">
        <w:rPr>
          <w:rFonts w:ascii="PT Astra Serif" w:hAnsi="PT Astra Serif"/>
          <w:u w:val="single"/>
        </w:rPr>
        <w:t>105</w:t>
      </w:r>
    </w:p>
    <w:p w:rsidR="002D1734" w:rsidRPr="00ED79E5" w:rsidRDefault="002D1734" w:rsidP="002D1734">
      <w:pPr>
        <w:spacing w:after="0"/>
        <w:rPr>
          <w:rFonts w:ascii="PT Astra Serif" w:hAnsi="PT Astra Serif"/>
          <w:sz w:val="20"/>
        </w:rPr>
      </w:pPr>
    </w:p>
    <w:p w:rsidR="002D1734" w:rsidRPr="00ED79E5" w:rsidRDefault="002D1734" w:rsidP="002D1734">
      <w:pPr>
        <w:spacing w:after="0"/>
        <w:rPr>
          <w:rFonts w:ascii="PT Astra Serif" w:hAnsi="PT Astra Serif"/>
          <w:sz w:val="20"/>
        </w:rPr>
      </w:pPr>
    </w:p>
    <w:p w:rsidR="002D1734" w:rsidRPr="00ED79E5" w:rsidRDefault="002D1734" w:rsidP="002D1734">
      <w:pPr>
        <w:spacing w:after="0"/>
        <w:rPr>
          <w:rFonts w:ascii="PT Astra Serif" w:hAnsi="PT Astra Serif"/>
          <w:sz w:val="20"/>
        </w:rPr>
      </w:pPr>
    </w:p>
    <w:p w:rsidR="002D1734" w:rsidRPr="00ED79E5" w:rsidRDefault="002D1734" w:rsidP="002D1734">
      <w:pPr>
        <w:pStyle w:val="60"/>
        <w:shd w:val="clear" w:color="auto" w:fill="auto"/>
        <w:spacing w:before="0" w:after="0"/>
        <w:ind w:left="20"/>
        <w:rPr>
          <w:rFonts w:ascii="PT Astra Serif" w:hAnsi="PT Astra Serif" w:cs="Times New Roman"/>
          <w:b/>
          <w:sz w:val="24"/>
          <w:szCs w:val="24"/>
        </w:rPr>
      </w:pPr>
      <w:r w:rsidRPr="00ED79E5">
        <w:rPr>
          <w:rFonts w:ascii="PT Astra Serif" w:hAnsi="PT Astra Serif" w:cs="Times New Roman"/>
          <w:b/>
          <w:sz w:val="24"/>
          <w:szCs w:val="24"/>
        </w:rPr>
        <w:t>План мероприятий («дорожная карта»)</w:t>
      </w:r>
    </w:p>
    <w:p w:rsidR="002D1734" w:rsidRPr="00ED79E5" w:rsidRDefault="002D1734" w:rsidP="002D1734">
      <w:pPr>
        <w:pStyle w:val="60"/>
        <w:shd w:val="clear" w:color="auto" w:fill="auto"/>
        <w:spacing w:before="0" w:after="0"/>
        <w:ind w:left="20"/>
        <w:rPr>
          <w:rFonts w:ascii="PT Astra Serif" w:hAnsi="PT Astra Serif" w:cs="Times New Roman"/>
          <w:b/>
          <w:sz w:val="24"/>
          <w:szCs w:val="24"/>
        </w:rPr>
      </w:pPr>
      <w:r w:rsidRPr="00ED79E5">
        <w:rPr>
          <w:rFonts w:ascii="PT Astra Serif" w:hAnsi="PT Astra Serif" w:cs="Times New Roman"/>
          <w:b/>
          <w:sz w:val="24"/>
          <w:szCs w:val="24"/>
        </w:rPr>
        <w:t xml:space="preserve">по снижению рисков нарушения антимонопольного законодательства (комплаенс - рисков) в администрации Базарно-Карабулакского муниципального района Саратовской области </w:t>
      </w:r>
      <w:r w:rsidR="003D144A">
        <w:rPr>
          <w:rFonts w:ascii="PT Astra Serif" w:hAnsi="PT Astra Serif" w:cs="Times New Roman"/>
          <w:b/>
          <w:sz w:val="24"/>
          <w:szCs w:val="24"/>
        </w:rPr>
        <w:t>на 2024</w:t>
      </w:r>
      <w:r w:rsidRPr="00ED79E5"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p w:rsidR="002D1734" w:rsidRPr="00ED79E5" w:rsidRDefault="002D1734" w:rsidP="002D1734">
      <w:pPr>
        <w:pStyle w:val="60"/>
        <w:shd w:val="clear" w:color="auto" w:fill="auto"/>
        <w:spacing w:before="0" w:after="0"/>
        <w:ind w:left="20"/>
        <w:rPr>
          <w:rFonts w:ascii="PT Astra Serif" w:hAnsi="PT Astra Serif"/>
          <w:sz w:val="2"/>
          <w:szCs w:val="2"/>
        </w:rPr>
      </w:pPr>
    </w:p>
    <w:tbl>
      <w:tblPr>
        <w:tblStyle w:val="a5"/>
        <w:tblW w:w="0" w:type="auto"/>
        <w:tblInd w:w="20" w:type="dxa"/>
        <w:tblLook w:val="04A0"/>
      </w:tblPr>
      <w:tblGrid>
        <w:gridCol w:w="939"/>
        <w:gridCol w:w="4111"/>
        <w:gridCol w:w="2835"/>
        <w:gridCol w:w="2976"/>
        <w:gridCol w:w="1560"/>
        <w:gridCol w:w="2345"/>
      </w:tblGrid>
      <w:tr w:rsidR="002D1734" w:rsidRPr="00ED79E5" w:rsidTr="00B16C9F">
        <w:tc>
          <w:tcPr>
            <w:tcW w:w="939" w:type="dxa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№</w:t>
            </w:r>
          </w:p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п/п</w:t>
            </w:r>
          </w:p>
        </w:tc>
        <w:tc>
          <w:tcPr>
            <w:tcW w:w="4111" w:type="dxa"/>
          </w:tcPr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Описание рисков</w:t>
            </w:r>
          </w:p>
        </w:tc>
        <w:tc>
          <w:tcPr>
            <w:tcW w:w="2835" w:type="dxa"/>
          </w:tcPr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Мероприятие</w:t>
            </w:r>
          </w:p>
        </w:tc>
        <w:tc>
          <w:tcPr>
            <w:tcW w:w="2976" w:type="dxa"/>
          </w:tcPr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</w:tcPr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Срок</w:t>
            </w:r>
          </w:p>
        </w:tc>
        <w:tc>
          <w:tcPr>
            <w:tcW w:w="2345" w:type="dxa"/>
          </w:tcPr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Ответственный</w:t>
            </w:r>
          </w:p>
        </w:tc>
      </w:tr>
      <w:tr w:rsidR="00655E86" w:rsidRPr="00ED79E5" w:rsidTr="0099389C">
        <w:tc>
          <w:tcPr>
            <w:tcW w:w="939" w:type="dxa"/>
            <w:vMerge w:val="restart"/>
            <w:vAlign w:val="center"/>
          </w:tcPr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1.</w:t>
            </w:r>
          </w:p>
          <w:p w:rsidR="00655E86" w:rsidRPr="00ED79E5" w:rsidRDefault="00655E86" w:rsidP="00ED79E5">
            <w:pPr>
              <w:pStyle w:val="20"/>
              <w:spacing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55E86" w:rsidRPr="00ED79E5" w:rsidRDefault="000E11D3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Разработка проектов нормативных правовых актов, соглашений и осуществление действий (бездействия), которые могут привести к ущемлению интересов хозяйствующих субъектов</w:t>
            </w:r>
          </w:p>
        </w:tc>
        <w:tc>
          <w:tcPr>
            <w:tcW w:w="2835" w:type="dxa"/>
          </w:tcPr>
          <w:p w:rsidR="00655E86" w:rsidRPr="00ED79E5" w:rsidRDefault="00655E86" w:rsidP="00ED79E5">
            <w:pPr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D79E5">
              <w:rPr>
                <w:rFonts w:ascii="PT Astra Serif" w:hAnsi="PT Astra Serif" w:cs="Times New Roman"/>
              </w:rPr>
              <w:t>Повышение уровня квалификации должностных лиц, ответственных за разработку проектов правовых актов</w:t>
            </w:r>
          </w:p>
        </w:tc>
        <w:tc>
          <w:tcPr>
            <w:tcW w:w="2976" w:type="dxa"/>
            <w:vMerge w:val="restart"/>
            <w:vAlign w:val="center"/>
          </w:tcPr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Выявление и снижение рисков, предотвращение и (или) выявление нарушений, вводящих избыточные обязанности, запреты и ограничения для хозяйствующих субъектов</w:t>
            </w:r>
          </w:p>
        </w:tc>
        <w:tc>
          <w:tcPr>
            <w:tcW w:w="1560" w:type="dxa"/>
            <w:vMerge w:val="restart"/>
            <w:vAlign w:val="center"/>
          </w:tcPr>
          <w:p w:rsidR="00655E86" w:rsidRPr="00ED79E5" w:rsidRDefault="003D144A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2024</w:t>
            </w:r>
            <w:r w:rsidR="00655E86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 г.</w:t>
            </w:r>
          </w:p>
          <w:p w:rsidR="00655E86" w:rsidRPr="00ED79E5" w:rsidRDefault="00655E86" w:rsidP="00ED79E5">
            <w:pPr>
              <w:pStyle w:val="60"/>
              <w:spacing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Сектор по экономике и инвестициям,</w:t>
            </w:r>
          </w:p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655E86" w:rsidRPr="00ED79E5" w:rsidRDefault="00655E86" w:rsidP="00ED79E5">
            <w:pPr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  <w:lang w:eastAsia="en-US" w:bidi="en-US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Структурные подразделения администрации,  разрабатывающие проекты  НПА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  <w:lang w:eastAsia="en-US" w:bidi="en-US"/>
              </w:rPr>
              <w:t>,</w:t>
            </w:r>
          </w:p>
          <w:p w:rsidR="0099389C" w:rsidRPr="00ED79E5" w:rsidRDefault="0099389C" w:rsidP="00ED79E5">
            <w:pPr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  <w:lang w:eastAsia="en-US" w:bidi="en-US"/>
              </w:rPr>
            </w:pPr>
          </w:p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Юридический отдел</w:t>
            </w:r>
          </w:p>
        </w:tc>
      </w:tr>
      <w:tr w:rsidR="0054777C" w:rsidRPr="00ED79E5" w:rsidTr="00FC3718">
        <w:trPr>
          <w:trHeight w:val="1574"/>
        </w:trPr>
        <w:tc>
          <w:tcPr>
            <w:tcW w:w="939" w:type="dxa"/>
            <w:vMerge/>
          </w:tcPr>
          <w:p w:rsidR="0054777C" w:rsidRPr="00ED79E5" w:rsidRDefault="0054777C" w:rsidP="00ED79E5">
            <w:pPr>
              <w:pStyle w:val="20"/>
              <w:spacing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4777C" w:rsidRPr="00ED79E5" w:rsidRDefault="0054777C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4777C" w:rsidRPr="00ED79E5" w:rsidRDefault="0054777C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Мониторинг практики применения ан</w:t>
            </w:r>
            <w:r w:rsidR="00ED79E5" w:rsidRPr="00ED79E5">
              <w:rPr>
                <w:rFonts w:ascii="PT Astra Serif" w:hAnsi="PT Astra Serif" w:cs="Times New Roman"/>
              </w:rPr>
              <w:t>тимонопольного законодательства</w:t>
            </w:r>
          </w:p>
          <w:p w:rsidR="0054777C" w:rsidRPr="00ED79E5" w:rsidRDefault="0054777C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76" w:type="dxa"/>
            <w:vMerge/>
          </w:tcPr>
          <w:p w:rsidR="0054777C" w:rsidRPr="00ED79E5" w:rsidRDefault="0054777C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4777C" w:rsidRPr="00ED79E5" w:rsidRDefault="0054777C" w:rsidP="00ED79E5">
            <w:pPr>
              <w:pStyle w:val="60"/>
              <w:spacing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  <w:vMerge/>
          </w:tcPr>
          <w:p w:rsidR="0054777C" w:rsidRPr="00ED79E5" w:rsidRDefault="0054777C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55E86" w:rsidRPr="00ED79E5" w:rsidTr="00B16C9F">
        <w:tc>
          <w:tcPr>
            <w:tcW w:w="939" w:type="dxa"/>
            <w:vMerge/>
          </w:tcPr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Обеспечение ведения на официальном сайте Администрации разделов «Оценка регулирующего воздействия проектов НП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  <w:lang w:val="en-US" w:eastAsia="en-US" w:bidi="en-US"/>
              </w:rPr>
              <w:t>A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  <w:lang w:eastAsia="en-US" w:bidi="en-US"/>
              </w:rPr>
              <w:t xml:space="preserve"> 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и экспертиза НПА»</w:t>
            </w:r>
          </w:p>
        </w:tc>
        <w:tc>
          <w:tcPr>
            <w:tcW w:w="2976" w:type="dxa"/>
          </w:tcPr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Обеспечение открытости и доступности информации о  НПА</w:t>
            </w:r>
          </w:p>
        </w:tc>
        <w:tc>
          <w:tcPr>
            <w:tcW w:w="1560" w:type="dxa"/>
            <w:vMerge/>
          </w:tcPr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</w:tcPr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Сектор по экономике и инвестициям</w:t>
            </w:r>
          </w:p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C0602" w:rsidRPr="00ED79E5" w:rsidTr="0099389C">
        <w:tc>
          <w:tcPr>
            <w:tcW w:w="939" w:type="dxa"/>
            <w:vMerge w:val="restart"/>
            <w:vAlign w:val="center"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Нарушение антимонопольного законодательства при осуществлении закупок товаров, работ, услуг для</w:t>
            </w:r>
            <w:r w:rsidR="00ED79E5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 обеспечения муниципальных нужд:</w:t>
            </w:r>
          </w:p>
          <w:p w:rsidR="00BC0602" w:rsidRPr="00ED79E5" w:rsidRDefault="00BC0602" w:rsidP="00ED79E5">
            <w:pPr>
              <w:pStyle w:val="20"/>
              <w:shd w:val="clear" w:color="auto" w:fill="auto"/>
              <w:spacing w:before="280" w:after="28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Ограничение количества участников закупки</w:t>
            </w:r>
            <w:r w:rsidRPr="00ED79E5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Совершение    комиссией  по  осуществлению закупок действий</w:t>
            </w:r>
          </w:p>
          <w:p w:rsidR="00BC0602" w:rsidRPr="00ED79E5" w:rsidRDefault="00BC0602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ограничивающих  конкуренцию</w:t>
            </w:r>
          </w:p>
        </w:tc>
        <w:tc>
          <w:tcPr>
            <w:tcW w:w="2835" w:type="dxa"/>
          </w:tcPr>
          <w:p w:rsidR="00BC0602" w:rsidRPr="00ED79E5" w:rsidRDefault="0054777C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 xml:space="preserve">Повышение профессиональной квалификации сотрудников в  сфере  закупок,  членов  комиссии по закупкам (программы повышения 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квалификации, семинары, вебинары, самообразование)</w:t>
            </w:r>
          </w:p>
        </w:tc>
        <w:tc>
          <w:tcPr>
            <w:tcW w:w="2976" w:type="dxa"/>
          </w:tcPr>
          <w:p w:rsidR="00BC0602" w:rsidRPr="00ED79E5" w:rsidRDefault="00BC0602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560" w:type="dxa"/>
            <w:vMerge w:val="restart"/>
            <w:vAlign w:val="center"/>
          </w:tcPr>
          <w:p w:rsidR="00BC0602" w:rsidRPr="00ED79E5" w:rsidRDefault="003D144A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2024</w:t>
            </w:r>
            <w:r w:rsidR="00BC0602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 г.</w:t>
            </w:r>
          </w:p>
          <w:p w:rsidR="00BC0602" w:rsidRPr="00ED79E5" w:rsidRDefault="00BC0602" w:rsidP="00ED79E5">
            <w:pPr>
              <w:pStyle w:val="60"/>
              <w:spacing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Сектор по закупкам для муниципальных нужд</w:t>
            </w:r>
          </w:p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C0602" w:rsidRPr="00ED79E5" w:rsidTr="00B16C9F">
        <w:tc>
          <w:tcPr>
            <w:tcW w:w="939" w:type="dxa"/>
            <w:vMerge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Изучение</w:t>
            </w:r>
          </w:p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правоприменительной практики и мониторинг изменений законодательства </w:t>
            </w:r>
          </w:p>
        </w:tc>
        <w:tc>
          <w:tcPr>
            <w:tcW w:w="2976" w:type="dxa"/>
          </w:tcPr>
          <w:p w:rsidR="00BC0602" w:rsidRPr="00ED79E5" w:rsidRDefault="00BC0602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Соблюдение требований при проведении закупок</w:t>
            </w:r>
          </w:p>
        </w:tc>
        <w:tc>
          <w:tcPr>
            <w:tcW w:w="1560" w:type="dxa"/>
            <w:vMerge/>
          </w:tcPr>
          <w:p w:rsidR="00BC0602" w:rsidRPr="00ED79E5" w:rsidRDefault="00BC0602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Сектор по закупкам для муниципальных нужд</w:t>
            </w:r>
          </w:p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Юридический отдел</w:t>
            </w:r>
          </w:p>
        </w:tc>
      </w:tr>
      <w:tr w:rsidR="00ED79E5" w:rsidRPr="00ED79E5" w:rsidTr="00884B50">
        <w:tc>
          <w:tcPr>
            <w:tcW w:w="939" w:type="dxa"/>
            <w:vMerge w:val="restart"/>
            <w:vAlign w:val="center"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3.</w:t>
            </w:r>
          </w:p>
          <w:p w:rsidR="00ED79E5" w:rsidRPr="00ED79E5" w:rsidRDefault="00ED79E5" w:rsidP="00ED79E5">
            <w:pPr>
              <w:pStyle w:val="20"/>
              <w:spacing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ED79E5" w:rsidRPr="00ED79E5" w:rsidRDefault="00ED79E5" w:rsidP="00884B5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Нарушение антимонопольного законодательства при оказании муниципальных услуг:</w:t>
            </w:r>
          </w:p>
          <w:p w:rsidR="00ED79E5" w:rsidRPr="00ED79E5" w:rsidRDefault="00ED79E5" w:rsidP="00884B5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ED79E5" w:rsidRPr="00ED79E5" w:rsidRDefault="00ED79E5" w:rsidP="00884B5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-взимание платы за предоставление муниципальной услуги, если такая плата не предусмотрена действующим законодательством;</w:t>
            </w:r>
          </w:p>
          <w:p w:rsidR="00ED79E5" w:rsidRPr="00ED79E5" w:rsidRDefault="00ED79E5" w:rsidP="00884B5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ED79E5" w:rsidRPr="00ED79E5" w:rsidRDefault="00ED79E5" w:rsidP="00884B5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законодательством;</w:t>
            </w:r>
          </w:p>
          <w:p w:rsidR="00ED79E5" w:rsidRPr="00ED79E5" w:rsidRDefault="00ED79E5" w:rsidP="00884B5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ED79E5" w:rsidRPr="00ED79E5" w:rsidRDefault="00ED79E5" w:rsidP="00884B5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-отказ в предоставлении муниципальной услуги;</w:t>
            </w:r>
          </w:p>
          <w:p w:rsidR="00ED79E5" w:rsidRPr="00ED79E5" w:rsidRDefault="00ED79E5" w:rsidP="00884B5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ED79E5" w:rsidRPr="00ED79E5" w:rsidRDefault="00ED79E5" w:rsidP="00884B5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-нарушение сроков предоставления муниципальной услуги</w:t>
            </w:r>
          </w:p>
        </w:tc>
        <w:tc>
          <w:tcPr>
            <w:tcW w:w="2835" w:type="dxa"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Соблюдение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административных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регламентов</w:t>
            </w:r>
          </w:p>
        </w:tc>
        <w:tc>
          <w:tcPr>
            <w:tcW w:w="2976" w:type="dxa"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Исключение предоставления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преимуществ отдельным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хозяйствующим субъектам,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несоблюдения установленных процедур и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затягивания сроков рассмотрения</w:t>
            </w:r>
          </w:p>
          <w:p w:rsidR="00ED79E5" w:rsidRPr="00ED79E5" w:rsidRDefault="00ED79E5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документов</w:t>
            </w:r>
          </w:p>
        </w:tc>
        <w:tc>
          <w:tcPr>
            <w:tcW w:w="1560" w:type="dxa"/>
            <w:vMerge w:val="restart"/>
            <w:vAlign w:val="center"/>
          </w:tcPr>
          <w:p w:rsidR="00ED79E5" w:rsidRPr="00ED79E5" w:rsidRDefault="00ED79E5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2</w:t>
            </w:r>
            <w:r w:rsidR="002F3767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024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 г.</w:t>
            </w:r>
          </w:p>
          <w:p w:rsidR="00ED79E5" w:rsidRPr="00ED79E5" w:rsidRDefault="00ED79E5" w:rsidP="00ED79E5">
            <w:pPr>
              <w:pStyle w:val="60"/>
              <w:spacing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ED79E5" w:rsidRPr="00ED79E5" w:rsidRDefault="00ED79E5" w:rsidP="002F376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Структурные</w:t>
            </w:r>
          </w:p>
          <w:p w:rsidR="00ED79E5" w:rsidRPr="00ED79E5" w:rsidRDefault="00ED79E5" w:rsidP="002F376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подразделения администрации, оказывающие муниципальные услуги</w:t>
            </w:r>
          </w:p>
          <w:p w:rsidR="00ED79E5" w:rsidRPr="00ED79E5" w:rsidRDefault="00ED79E5" w:rsidP="002F3767">
            <w:pPr>
              <w:pStyle w:val="20"/>
              <w:spacing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D79E5" w:rsidRPr="00ED79E5" w:rsidTr="002F3767">
        <w:tc>
          <w:tcPr>
            <w:tcW w:w="939" w:type="dxa"/>
            <w:vMerge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79E5" w:rsidRPr="00ED79E5" w:rsidRDefault="00ED79E5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Мониторинг и анализ выявленных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нарушений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Совершенствование системы внутреннего контроля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D79E5" w:rsidRPr="00ED79E5" w:rsidRDefault="00ED79E5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</w:tr>
      <w:tr w:rsidR="002F3767" w:rsidRPr="00ED79E5" w:rsidTr="002F3767">
        <w:trPr>
          <w:trHeight w:val="1518"/>
        </w:trPr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:rsidR="002F3767" w:rsidRPr="00ED79E5" w:rsidRDefault="002F3767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67" w:rsidRPr="00ED79E5" w:rsidRDefault="002F3767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законодательства:</w:t>
            </w:r>
          </w:p>
          <w:p w:rsidR="002F3767" w:rsidRPr="00ED79E5" w:rsidRDefault="002F3767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 xml:space="preserve"> </w:t>
            </w:r>
          </w:p>
          <w:p w:rsidR="002F3767" w:rsidRPr="00ED79E5" w:rsidRDefault="002F3767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lastRenderedPageBreak/>
              <w:t>-заключение договоров аренды,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владение и (или) пользова</w:t>
            </w:r>
            <w:r>
              <w:rPr>
                <w:rFonts w:ascii="PT Astra Serif" w:hAnsi="PT Astra Serif" w:cs="Times New Roman"/>
              </w:rPr>
              <w:t>ние муниципальной собственности</w:t>
            </w:r>
          </w:p>
          <w:p w:rsidR="002F3767" w:rsidRPr="00ED79E5" w:rsidRDefault="002F3767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7" w:rsidRPr="00ED79E5" w:rsidRDefault="002F3767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lastRenderedPageBreak/>
              <w:t>Усиление внутреннего контроля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67" w:rsidRPr="00ED79E5" w:rsidRDefault="002F3767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Повышение уровня правовой грамотности сотрудников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67" w:rsidRPr="00ED79E5" w:rsidRDefault="002F3767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2024</w:t>
            </w:r>
            <w:r w:rsidRPr="00ED79E5">
              <w:rPr>
                <w:rFonts w:ascii="PT Astra Serif" w:hAnsi="PT Astra Serif" w:cs="Times New Roman"/>
                <w:sz w:val="22"/>
                <w:szCs w:val="22"/>
              </w:rPr>
              <w:t>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67" w:rsidRPr="00ED79E5" w:rsidRDefault="002F3767" w:rsidP="002F376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От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дел по имущественным отношениям</w:t>
            </w:r>
          </w:p>
        </w:tc>
      </w:tr>
      <w:tr w:rsidR="00180191" w:rsidRPr="00ED79E5" w:rsidTr="002F3767">
        <w:tc>
          <w:tcPr>
            <w:tcW w:w="939" w:type="dxa"/>
            <w:vMerge/>
            <w:tcBorders>
              <w:right w:val="single" w:sz="4" w:space="0" w:color="auto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1" w:rsidRPr="00ED79E5" w:rsidRDefault="00180191" w:rsidP="002F3767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Мониторинг изменений законодательства в сфере имущественных отношений</w:t>
            </w:r>
            <w:r w:rsidR="002F3767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1" w:rsidRPr="00ED79E5" w:rsidRDefault="00180191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F3767" w:rsidRDefault="002F3767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От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дел по имущественным отношениям</w:t>
            </w:r>
            <w:r w:rsidRPr="00ED79E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2F3767" w:rsidRDefault="002F3767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Юридический отдел</w:t>
            </w:r>
          </w:p>
        </w:tc>
      </w:tr>
      <w:tr w:rsidR="00180191" w:rsidRPr="00ED79E5" w:rsidTr="002F3767">
        <w:trPr>
          <w:trHeight w:val="2530"/>
        </w:trPr>
        <w:tc>
          <w:tcPr>
            <w:tcW w:w="939" w:type="dxa"/>
            <w:vMerge/>
            <w:tcBorders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Осуществление предварительного контроля документации на соответствие антимонопольному законодательству при распор</w:t>
            </w:r>
            <w:r w:rsidR="00847223">
              <w:rPr>
                <w:rFonts w:ascii="PT Astra Serif" w:hAnsi="PT Astra Serif" w:cs="Times New Roman"/>
              </w:rPr>
              <w:t>яжении муниципальным имуществом</w:t>
            </w:r>
          </w:p>
          <w:p w:rsidR="00180191" w:rsidRPr="00ED79E5" w:rsidRDefault="00180191" w:rsidP="00ED79E5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2D1734" w:rsidRPr="00ED79E5" w:rsidRDefault="002D1734" w:rsidP="00ED79E5">
      <w:pPr>
        <w:pStyle w:val="60"/>
        <w:shd w:val="clear" w:color="auto" w:fill="auto"/>
        <w:spacing w:before="0" w:after="0" w:line="240" w:lineRule="auto"/>
        <w:ind w:left="20"/>
        <w:rPr>
          <w:rFonts w:ascii="PT Astra Serif" w:hAnsi="PT Astra Serif" w:cs="Times New Roman"/>
          <w:sz w:val="22"/>
          <w:szCs w:val="22"/>
        </w:rPr>
      </w:pPr>
    </w:p>
    <w:p w:rsidR="002D1734" w:rsidRPr="00ED79E5" w:rsidRDefault="002D1734" w:rsidP="00ED79E5">
      <w:pPr>
        <w:pStyle w:val="60"/>
        <w:shd w:val="clear" w:color="auto" w:fill="auto"/>
        <w:spacing w:before="0" w:after="0" w:line="240" w:lineRule="auto"/>
        <w:ind w:left="20"/>
        <w:rPr>
          <w:rFonts w:ascii="PT Astra Serif" w:hAnsi="PT Astra Serif" w:cs="Times New Roman"/>
          <w:sz w:val="22"/>
          <w:szCs w:val="22"/>
        </w:rPr>
      </w:pPr>
    </w:p>
    <w:p w:rsidR="002D1734" w:rsidRPr="00ED79E5" w:rsidRDefault="002D1734" w:rsidP="00ED79E5">
      <w:pPr>
        <w:pStyle w:val="60"/>
        <w:shd w:val="clear" w:color="auto" w:fill="auto"/>
        <w:spacing w:before="0" w:after="0" w:line="240" w:lineRule="auto"/>
        <w:ind w:left="20"/>
        <w:rPr>
          <w:rFonts w:ascii="PT Astra Serif" w:hAnsi="PT Astra Serif" w:cs="Times New Roman"/>
          <w:sz w:val="22"/>
          <w:szCs w:val="22"/>
        </w:rPr>
      </w:pPr>
    </w:p>
    <w:p w:rsidR="0052725B" w:rsidRPr="00ED79E5" w:rsidRDefault="0052725B" w:rsidP="00ED79E5">
      <w:pPr>
        <w:spacing w:line="240" w:lineRule="auto"/>
        <w:rPr>
          <w:rFonts w:ascii="PT Astra Serif" w:hAnsi="PT Astra Serif" w:cs="Times New Roman"/>
        </w:rPr>
      </w:pPr>
    </w:p>
    <w:sectPr w:rsidR="0052725B" w:rsidRPr="00ED79E5" w:rsidSect="00AF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94" w:rsidRPr="008E3258" w:rsidRDefault="00B45794" w:rsidP="008E3258">
      <w:pPr>
        <w:pStyle w:val="20"/>
        <w:spacing w:before="0" w:after="0" w:line="240" w:lineRule="auto"/>
        <w:rPr>
          <w:sz w:val="22"/>
          <w:szCs w:val="22"/>
        </w:rPr>
      </w:pPr>
      <w:r>
        <w:separator/>
      </w:r>
    </w:p>
  </w:endnote>
  <w:endnote w:type="continuationSeparator" w:id="1">
    <w:p w:rsidR="00B45794" w:rsidRPr="008E3258" w:rsidRDefault="00B45794" w:rsidP="008E3258">
      <w:pPr>
        <w:pStyle w:val="20"/>
        <w:spacing w:before="0" w:after="0"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94" w:rsidRPr="008E3258" w:rsidRDefault="00B45794" w:rsidP="008E3258">
      <w:pPr>
        <w:pStyle w:val="20"/>
        <w:spacing w:before="0" w:after="0" w:line="240" w:lineRule="auto"/>
        <w:rPr>
          <w:sz w:val="22"/>
          <w:szCs w:val="22"/>
        </w:rPr>
      </w:pPr>
      <w:r>
        <w:separator/>
      </w:r>
    </w:p>
  </w:footnote>
  <w:footnote w:type="continuationSeparator" w:id="1">
    <w:p w:rsidR="00B45794" w:rsidRPr="008E3258" w:rsidRDefault="00B45794" w:rsidP="008E3258">
      <w:pPr>
        <w:pStyle w:val="20"/>
        <w:spacing w:before="0" w:after="0" w:line="240" w:lineRule="auto"/>
        <w:rPr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734"/>
    <w:rsid w:val="00017F4C"/>
    <w:rsid w:val="00064DDA"/>
    <w:rsid w:val="0008232B"/>
    <w:rsid w:val="000E11D3"/>
    <w:rsid w:val="00180191"/>
    <w:rsid w:val="0021464E"/>
    <w:rsid w:val="002D1734"/>
    <w:rsid w:val="002F3767"/>
    <w:rsid w:val="003452DF"/>
    <w:rsid w:val="00352139"/>
    <w:rsid w:val="003661B6"/>
    <w:rsid w:val="00367949"/>
    <w:rsid w:val="003D144A"/>
    <w:rsid w:val="00415051"/>
    <w:rsid w:val="00487AA1"/>
    <w:rsid w:val="004B6BCE"/>
    <w:rsid w:val="004C191C"/>
    <w:rsid w:val="0052725B"/>
    <w:rsid w:val="0054777C"/>
    <w:rsid w:val="00613D4A"/>
    <w:rsid w:val="00633B2B"/>
    <w:rsid w:val="00655E86"/>
    <w:rsid w:val="00692EE3"/>
    <w:rsid w:val="0069576E"/>
    <w:rsid w:val="0071528B"/>
    <w:rsid w:val="007F7AEA"/>
    <w:rsid w:val="00842646"/>
    <w:rsid w:val="00847223"/>
    <w:rsid w:val="00884B50"/>
    <w:rsid w:val="008A2350"/>
    <w:rsid w:val="008A27B0"/>
    <w:rsid w:val="008D66E2"/>
    <w:rsid w:val="008E3258"/>
    <w:rsid w:val="0099389C"/>
    <w:rsid w:val="00A1701C"/>
    <w:rsid w:val="00A4111C"/>
    <w:rsid w:val="00A80F5E"/>
    <w:rsid w:val="00AF7080"/>
    <w:rsid w:val="00B41034"/>
    <w:rsid w:val="00B45794"/>
    <w:rsid w:val="00BC0602"/>
    <w:rsid w:val="00C15FAC"/>
    <w:rsid w:val="00C613EA"/>
    <w:rsid w:val="00C90581"/>
    <w:rsid w:val="00D36B91"/>
    <w:rsid w:val="00D94CEE"/>
    <w:rsid w:val="00DB03F5"/>
    <w:rsid w:val="00DB278C"/>
    <w:rsid w:val="00EB23B9"/>
    <w:rsid w:val="00ED072B"/>
    <w:rsid w:val="00ED79E5"/>
    <w:rsid w:val="00F24F14"/>
    <w:rsid w:val="00F3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73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2D1734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2D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2D1734"/>
    <w:rPr>
      <w:rFonts w:ascii="Arial" w:eastAsia="Calibri" w:hAnsi="Arial" w:cs="Arial"/>
    </w:rPr>
  </w:style>
  <w:style w:type="character" w:customStyle="1" w:styleId="2">
    <w:name w:val="Основной текст (2)_"/>
    <w:link w:val="20"/>
    <w:rsid w:val="002D173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734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2D1734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1734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212pt">
    <w:name w:val="Основной текст (2) + 12 pt"/>
    <w:rsid w:val="002D1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D1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7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E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3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B642-3A59-459A-AE38-A994312D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2024-02-07T11:49:00Z</cp:lastPrinted>
  <dcterms:created xsi:type="dcterms:W3CDTF">2024-02-07T11:19:00Z</dcterms:created>
  <dcterms:modified xsi:type="dcterms:W3CDTF">2024-02-09T12:15:00Z</dcterms:modified>
</cp:coreProperties>
</file>