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Абдуловский СДК присоединился к акции «Окна России»</w:t>
      </w:r>
    </w:p>
    <w:p w14:paraId="02000000">
      <w:pPr>
        <w:pStyle w:val="Style_1"/>
      </w:pPr>
      <w:r>
        <w:drawing>
          <wp:inline>
            <wp:extent cx="2259738" cy="2028468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259738" cy="202846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>
            <wp:extent cx="1639255" cy="2037115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639255" cy="20371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2251442" cy="2218022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251442" cy="221802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. </w:t>
      </w:r>
      <w:r>
        <w:drawing>
          <wp:inline>
            <wp:extent cx="2540514" cy="2274554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540514" cy="227455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2274744" cy="2205436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274744" cy="220543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. </w:t>
      </w:r>
      <w:r>
        <w:drawing>
          <wp:inline>
            <wp:extent cx="2207853" cy="2183705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207853" cy="218370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media/6.jpeg" Type="http://schemas.openxmlformats.org/officeDocument/2006/relationships/image"/>
  <Relationship Id="rId1" Target="media/1.jpeg" Type="http://schemas.openxmlformats.org/officeDocument/2006/relationships/image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settings.xml" Type="http://schemas.openxmlformats.org/officeDocument/2006/relationships/settings"/>
  <Relationship Id="rId4" Target="media/4.jpeg" Type="http://schemas.openxmlformats.org/officeDocument/2006/relationships/image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media/5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2025-08-22T10:28:55Z</dcterms:modified>
</cp:coreProperties>
</file>