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D1603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23 декабря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735DC2"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Default="00D16033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>Были рассмотрены вопросы, касающиеся обеспечения безопасности проведения новогодних и рождественских праздников на территории района. Даны рекомендации силовым структурам Базарно-Карабулакского МР принять дополнительные меры</w:t>
      </w:r>
      <w:r w:rsidRPr="00D16033">
        <w:rPr>
          <w:color w:val="232323"/>
        </w:rPr>
        <w:t xml:space="preserve"> </w:t>
      </w:r>
      <w:r>
        <w:rPr>
          <w:color w:val="232323"/>
        </w:rPr>
        <w:t>по обеспечению антитеррористической защищенности объектов с массовым пребыванием людей и безопасности проведения праздничных мероприятий.</w:t>
      </w:r>
    </w:p>
    <w:p w:rsidR="00D16033" w:rsidRPr="001521DB" w:rsidRDefault="00D16033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>Итогом заседания стало утверждение Плана работы антитеррористической комиссии на 2022 год.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13B5E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16033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2022-02-15T05:49:00Z</dcterms:created>
  <dcterms:modified xsi:type="dcterms:W3CDTF">2022-02-15T05:49:00Z</dcterms:modified>
</cp:coreProperties>
</file>