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4A4AD6" w:rsidP="006033BF">
      <w:pPr>
        <w:pStyle w:val="a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_27_</w:t>
      </w:r>
      <w:r w:rsidR="006033BF">
        <w:rPr>
          <w:sz w:val="24"/>
        </w:rPr>
        <w:t>»</w:t>
      </w:r>
      <w:r w:rsidR="006033BF" w:rsidRPr="004A4AD6">
        <w:rPr>
          <w:sz w:val="24"/>
          <w:u w:val="single"/>
        </w:rPr>
        <w:t>_</w:t>
      </w:r>
      <w:r>
        <w:rPr>
          <w:sz w:val="24"/>
          <w:u w:val="single"/>
        </w:rPr>
        <w:t>апреля 2018 г</w:t>
      </w:r>
      <w:r w:rsidR="006033BF" w:rsidRPr="004A4AD6">
        <w:rPr>
          <w:sz w:val="24"/>
          <w:u w:val="single"/>
        </w:rPr>
        <w:t>_</w:t>
      </w:r>
      <w:r w:rsidR="006033BF">
        <w:rPr>
          <w:sz w:val="24"/>
        </w:rPr>
        <w:t xml:space="preserve"> </w:t>
      </w:r>
      <w:r w:rsidR="006033BF">
        <w:rPr>
          <w:sz w:val="24"/>
        </w:rPr>
        <w:tab/>
      </w:r>
      <w:r w:rsidR="006033BF">
        <w:rPr>
          <w:sz w:val="24"/>
        </w:rPr>
        <w:tab/>
        <w:t xml:space="preserve">                                                             № </w:t>
      </w:r>
      <w:r w:rsidR="006033BF" w:rsidRPr="004A4AD6">
        <w:rPr>
          <w:sz w:val="24"/>
          <w:u w:val="single"/>
        </w:rPr>
        <w:t>_</w:t>
      </w:r>
      <w:r>
        <w:rPr>
          <w:sz w:val="24"/>
          <w:u w:val="single"/>
        </w:rPr>
        <w:t>131</w:t>
      </w:r>
      <w:r w:rsidR="006033BF" w:rsidRPr="004A4AD6">
        <w:rPr>
          <w:sz w:val="24"/>
          <w:u w:val="single"/>
        </w:rPr>
        <w:t xml:space="preserve">  </w:t>
      </w:r>
      <w:r>
        <w:rPr>
          <w:sz w:val="24"/>
          <w:u w:val="single"/>
        </w:rPr>
        <w:t>_</w:t>
      </w:r>
      <w:r w:rsidR="006033BF"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8C0EDC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42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>Старо</w:t>
      </w:r>
      <w:r w:rsidR="008C0EDC">
        <w:rPr>
          <w:rFonts w:ascii="Times New Roman" w:hAnsi="Times New Roman" w:cs="Times New Roman"/>
          <w:bCs w:val="0"/>
          <w:color w:val="auto"/>
          <w:sz w:val="24"/>
          <w:szCs w:val="24"/>
        </w:rPr>
        <w:t>бурасского</w:t>
      </w:r>
      <w:proofErr w:type="spellEnd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241745" w:rsidRDefault="00241745" w:rsidP="00241745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8C0EDC">
        <w:t>ой области от 26.12.2016 г. № 42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C11110">
        <w:t>Старо</w:t>
      </w:r>
      <w:r w:rsidR="008C0EDC">
        <w:t>бураского</w:t>
      </w:r>
      <w:proofErr w:type="spellEnd"/>
      <w:r w:rsidR="00C11110">
        <w:t xml:space="preserve"> </w:t>
      </w:r>
      <w:r>
        <w:t>муниципального образования</w:t>
      </w:r>
      <w:r w:rsidR="0018006D">
        <w:t xml:space="preserve"> Базарно-Карабулакского</w:t>
      </w:r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8C0EDC">
        <w:rPr>
          <w:b/>
          <w:bCs/>
        </w:rPr>
        <w:t>ОД-2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Культурное развитие </w:t>
            </w:r>
            <w:r w:rsidRPr="00F15253">
              <w:rPr>
                <w:b/>
              </w:rPr>
              <w:lastRenderedPageBreak/>
              <w:t>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lastRenderedPageBreak/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8C0EDC">
        <w:rPr>
          <w:b/>
          <w:bCs/>
        </w:rPr>
        <w:t>ОД-3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C11110" w:rsidRPr="00C11110" w:rsidRDefault="00C11110" w:rsidP="00C11110">
      <w:pPr>
        <w:pStyle w:val="a3"/>
        <w:numPr>
          <w:ilvl w:val="0"/>
          <w:numId w:val="25"/>
        </w:numPr>
        <w:autoSpaceDE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11110">
        <w:rPr>
          <w:rFonts w:ascii="Times New Roman" w:hAnsi="Times New Roman"/>
          <w:b/>
          <w:bCs/>
          <w:sz w:val="24"/>
          <w:szCs w:val="24"/>
        </w:rPr>
        <w:t>ЗОНА РЕКРЕАЦИОННОГО НАЗНАЧЕНИЯ:</w:t>
      </w:r>
    </w:p>
    <w:p w:rsidR="006033BF" w:rsidRDefault="006033BF">
      <w:pPr>
        <w:rPr>
          <w:b/>
          <w:bCs/>
        </w:rPr>
      </w:pPr>
    </w:p>
    <w:p w:rsidR="00C11110" w:rsidRDefault="00C11110" w:rsidP="00C11110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</w:t>
      </w:r>
      <w:proofErr w:type="gramStart"/>
      <w:r>
        <w:rPr>
          <w:b/>
          <w:bCs/>
        </w:rPr>
        <w:t>Т-</w:t>
      </w:r>
      <w:proofErr w:type="gramEnd"/>
      <w:r w:rsidRPr="00B41F80">
        <w:rPr>
          <w:b/>
          <w:bCs/>
        </w:rPr>
        <w:t xml:space="preserve"> </w:t>
      </w:r>
      <w:r>
        <w:rPr>
          <w:b/>
          <w:bCs/>
        </w:rPr>
        <w:t>«</w:t>
      </w:r>
      <w:r w:rsidRPr="00B41F80">
        <w:rPr>
          <w:b/>
          <w:bCs/>
        </w:rPr>
        <w:t>Открытые природные пространства</w:t>
      </w:r>
      <w:r>
        <w:rPr>
          <w:b/>
          <w:bCs/>
        </w:rPr>
        <w:t>»</w:t>
      </w:r>
      <w:r w:rsidR="008C0EDC">
        <w:rPr>
          <w:b/>
          <w:bCs/>
        </w:rPr>
        <w:t>:</w:t>
      </w:r>
    </w:p>
    <w:p w:rsidR="00C11110" w:rsidRPr="004139E2" w:rsidRDefault="00C11110" w:rsidP="008C0EDC">
      <w:pPr>
        <w:jc w:val="both"/>
        <w:rPr>
          <w:lang w:eastAsia="ar-SA"/>
        </w:rPr>
      </w:pPr>
      <w:r w:rsidRPr="004139E2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1000 до 500000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lastRenderedPageBreak/>
              <w:t>Обслуживание автотранспорта (4.9)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15 до 1000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C11110" w:rsidRPr="004139E2" w:rsidRDefault="00C11110" w:rsidP="00564AA5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 xml:space="preserve">Магазины, торговые </w:t>
            </w:r>
            <w:r w:rsidRPr="00061674">
              <w:rPr>
                <w:b/>
              </w:rPr>
              <w:lastRenderedPageBreak/>
              <w:t>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1.Предельные (минимальные и (или) максимальные)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477FE0" w:rsidRPr="008C0EDC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8C0EDC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241745"/>
    <w:rsid w:val="00257B74"/>
    <w:rsid w:val="002B0B76"/>
    <w:rsid w:val="00350DEF"/>
    <w:rsid w:val="003B58B3"/>
    <w:rsid w:val="00477FE0"/>
    <w:rsid w:val="004A4AD6"/>
    <w:rsid w:val="00583CC2"/>
    <w:rsid w:val="0058482C"/>
    <w:rsid w:val="005936F2"/>
    <w:rsid w:val="006033BF"/>
    <w:rsid w:val="00640498"/>
    <w:rsid w:val="00642878"/>
    <w:rsid w:val="007103BD"/>
    <w:rsid w:val="0073452D"/>
    <w:rsid w:val="00737669"/>
    <w:rsid w:val="0075217C"/>
    <w:rsid w:val="007641AD"/>
    <w:rsid w:val="00766BD9"/>
    <w:rsid w:val="008A0038"/>
    <w:rsid w:val="008C0EDC"/>
    <w:rsid w:val="008F6B86"/>
    <w:rsid w:val="00A16119"/>
    <w:rsid w:val="00A17FCE"/>
    <w:rsid w:val="00AA16C9"/>
    <w:rsid w:val="00AE6DBD"/>
    <w:rsid w:val="00B27D37"/>
    <w:rsid w:val="00B564C9"/>
    <w:rsid w:val="00B70530"/>
    <w:rsid w:val="00B87682"/>
    <w:rsid w:val="00C11110"/>
    <w:rsid w:val="00CD1CE0"/>
    <w:rsid w:val="00D10C7D"/>
    <w:rsid w:val="00D2450C"/>
    <w:rsid w:val="00D5612A"/>
    <w:rsid w:val="00D75596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2018-04-24T11:40:00Z</cp:lastPrinted>
  <dcterms:created xsi:type="dcterms:W3CDTF">2018-04-24T10:39:00Z</dcterms:created>
  <dcterms:modified xsi:type="dcterms:W3CDTF">2018-11-21T05:29:00Z</dcterms:modified>
</cp:coreProperties>
</file>