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6A63A5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911E18">
              <w:t>Старожуковского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Базарно-Карабулакского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6A63A5" w:rsidRPr="00911E18">
              <w:t>Старожуковского</w:t>
            </w:r>
            <w:proofErr w:type="spellEnd"/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F44226" w:rsidP="00F44226">
            <w:pPr>
              <w:pStyle w:val="1"/>
              <w:spacing w:before="0"/>
              <w:jc w:val="center"/>
              <w:outlineLvl w:val="0"/>
            </w:pP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 района за 201</w:t>
            </w:r>
            <w:r w:rsidR="002F4947">
              <w:rPr>
                <w:rFonts w:ascii="Cambria" w:eastAsia="Times New Roman" w:hAnsi="Cambria" w:cs="Times New Roman"/>
                <w:color w:val="365F91"/>
                <w:lang w:val="en-US"/>
              </w:rPr>
              <w:t>9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032ACA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032ACA">
        <w:rPr>
          <w:b/>
          <w:color w:val="244061" w:themeColor="accent1" w:themeShade="80"/>
          <w:sz w:val="28"/>
          <w:szCs w:val="28"/>
        </w:rPr>
        <w:t>Итоги</w:t>
      </w:r>
      <w:r w:rsidR="00746CD1" w:rsidRPr="00032ACA">
        <w:rPr>
          <w:b/>
          <w:color w:val="244061" w:themeColor="accent1" w:themeShade="80"/>
          <w:sz w:val="28"/>
          <w:szCs w:val="28"/>
        </w:rPr>
        <w:t xml:space="preserve"> </w:t>
      </w:r>
      <w:r w:rsidRPr="00032ACA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032ACA" w:rsidRPr="00032ACA">
        <w:rPr>
          <w:b/>
          <w:color w:val="244061" w:themeColor="accent1" w:themeShade="80"/>
          <w:sz w:val="28"/>
          <w:szCs w:val="28"/>
        </w:rPr>
        <w:t>за 2019</w:t>
      </w:r>
      <w:r w:rsidRPr="00032ACA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2F4947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72" w:type="dxa"/>
        <w:tblLook w:val="0000"/>
      </w:tblPr>
      <w:tblGrid>
        <w:gridCol w:w="11072"/>
      </w:tblGrid>
      <w:tr w:rsidR="00746CD1" w:rsidTr="0056062E">
        <w:trPr>
          <w:cnfStyle w:val="000000100000"/>
          <w:trHeight w:val="5954"/>
        </w:trPr>
        <w:tc>
          <w:tcPr>
            <w:cnfStyle w:val="000010000000"/>
            <w:tcW w:w="11072" w:type="dxa"/>
          </w:tcPr>
          <w:p w:rsidR="00392ADD" w:rsidRPr="002F4947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95380B" w:rsidRPr="002F4947" w:rsidRDefault="0095380B" w:rsidP="0095380B">
            <w:pPr>
              <w:spacing w:after="240"/>
              <w:jc w:val="both"/>
              <w:rPr>
                <w:sz w:val="28"/>
                <w:szCs w:val="28"/>
                <w:highlight w:val="yellow"/>
              </w:rPr>
            </w:pPr>
          </w:p>
          <w:p w:rsidR="00032ACA" w:rsidRPr="00911E18" w:rsidRDefault="00495090" w:rsidP="00032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О</w:t>
            </w:r>
            <w:r w:rsidR="00032ACA" w:rsidRPr="00911E18">
              <w:rPr>
                <w:sz w:val="28"/>
                <w:szCs w:val="28"/>
              </w:rPr>
              <w:t>бъем валовой продукции сельского хозяйства за  201</w:t>
            </w:r>
            <w:r w:rsidR="00032ACA">
              <w:rPr>
                <w:sz w:val="28"/>
                <w:szCs w:val="28"/>
              </w:rPr>
              <w:t>9</w:t>
            </w:r>
            <w:r w:rsidR="00032ACA" w:rsidRPr="00911E18">
              <w:rPr>
                <w:sz w:val="28"/>
                <w:szCs w:val="28"/>
              </w:rPr>
              <w:t xml:space="preserve"> год составил </w:t>
            </w:r>
            <w:r w:rsidR="00032ACA">
              <w:rPr>
                <w:sz w:val="28"/>
                <w:szCs w:val="28"/>
              </w:rPr>
              <w:t>354,5</w:t>
            </w:r>
            <w:r w:rsidR="00032ACA" w:rsidRPr="00911E18">
              <w:rPr>
                <w:sz w:val="28"/>
                <w:szCs w:val="28"/>
              </w:rPr>
              <w:t xml:space="preserve"> млн</w:t>
            </w:r>
            <w:proofErr w:type="gramStart"/>
            <w:r w:rsidR="00032ACA" w:rsidRPr="00911E18">
              <w:rPr>
                <w:sz w:val="28"/>
                <w:szCs w:val="28"/>
              </w:rPr>
              <w:t>.р</w:t>
            </w:r>
            <w:proofErr w:type="gramEnd"/>
            <w:r w:rsidR="00032ACA" w:rsidRPr="00911E18">
              <w:rPr>
                <w:sz w:val="28"/>
                <w:szCs w:val="28"/>
              </w:rPr>
              <w:t xml:space="preserve">уб., или </w:t>
            </w:r>
            <w:r w:rsidR="00032ACA">
              <w:rPr>
                <w:sz w:val="28"/>
                <w:szCs w:val="28"/>
              </w:rPr>
              <w:t>100,2</w:t>
            </w:r>
            <w:r w:rsidR="00032ACA" w:rsidRPr="00911E18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032ACA" w:rsidRPr="00911E18" w:rsidRDefault="00032ACA" w:rsidP="00032ACA">
            <w:pPr>
              <w:ind w:left="990"/>
              <w:jc w:val="both"/>
              <w:rPr>
                <w:sz w:val="28"/>
                <w:szCs w:val="28"/>
              </w:rPr>
            </w:pPr>
          </w:p>
          <w:p w:rsidR="00032ACA" w:rsidRPr="00911E18" w:rsidRDefault="00032ACA" w:rsidP="00032ACA">
            <w:pPr>
              <w:ind w:firstLine="360"/>
              <w:jc w:val="both"/>
              <w:rPr>
                <w:sz w:val="28"/>
                <w:szCs w:val="28"/>
              </w:rPr>
            </w:pPr>
            <w:r w:rsidRPr="00911E18">
              <w:rPr>
                <w:sz w:val="28"/>
                <w:szCs w:val="28"/>
              </w:rPr>
              <w:t>2.</w:t>
            </w:r>
            <w:r w:rsidRPr="00911E18">
              <w:rPr>
                <w:color w:val="FF0000"/>
                <w:sz w:val="28"/>
                <w:szCs w:val="28"/>
              </w:rPr>
              <w:t xml:space="preserve"> </w:t>
            </w:r>
            <w:r w:rsidRPr="00911E18">
              <w:rPr>
                <w:sz w:val="28"/>
                <w:szCs w:val="28"/>
              </w:rPr>
              <w:t xml:space="preserve">Оборот розничной торговли составил </w:t>
            </w:r>
            <w:r>
              <w:rPr>
                <w:sz w:val="28"/>
                <w:szCs w:val="28"/>
              </w:rPr>
              <w:t>112,0</w:t>
            </w:r>
            <w:r w:rsidRPr="00911E18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108,8</w:t>
            </w:r>
            <w:r w:rsidRPr="00911E18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032ACA" w:rsidRPr="00911E18" w:rsidRDefault="00032ACA" w:rsidP="00032AC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11E18">
              <w:rPr>
                <w:sz w:val="28"/>
                <w:szCs w:val="28"/>
              </w:rPr>
              <w:t xml:space="preserve">    3. Организациями общественного питания </w:t>
            </w:r>
            <w:r>
              <w:rPr>
                <w:sz w:val="28"/>
                <w:szCs w:val="28"/>
              </w:rPr>
              <w:t xml:space="preserve">за 2019 </w:t>
            </w:r>
            <w:r w:rsidRPr="00911E18">
              <w:rPr>
                <w:sz w:val="28"/>
                <w:szCs w:val="28"/>
              </w:rPr>
              <w:t xml:space="preserve">год реализовано продукции на сумму </w:t>
            </w:r>
            <w:r>
              <w:rPr>
                <w:sz w:val="28"/>
                <w:szCs w:val="28"/>
              </w:rPr>
              <w:t>3,4</w:t>
            </w:r>
            <w:r w:rsidRPr="00911E18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103,7</w:t>
            </w:r>
            <w:r w:rsidRPr="00911E18">
              <w:rPr>
                <w:sz w:val="28"/>
                <w:szCs w:val="28"/>
              </w:rPr>
              <w:t xml:space="preserve"> % к аналогичному периоду уровня прошлого года.</w:t>
            </w:r>
          </w:p>
          <w:p w:rsidR="00032ACA" w:rsidRPr="00911E18" w:rsidRDefault="00032ACA" w:rsidP="00032ACA">
            <w:pPr>
              <w:spacing w:before="100" w:beforeAutospacing="1" w:after="100" w:afterAutospacing="1"/>
              <w:ind w:firstLine="360"/>
              <w:jc w:val="both"/>
              <w:rPr>
                <w:sz w:val="28"/>
                <w:szCs w:val="28"/>
              </w:rPr>
            </w:pPr>
            <w:r w:rsidRPr="00911E18">
              <w:rPr>
                <w:sz w:val="28"/>
                <w:szCs w:val="28"/>
              </w:rPr>
              <w:t xml:space="preserve">4. Средняя заработная плата, начисленная работникам организаций муниципального образования </w:t>
            </w:r>
            <w:r>
              <w:rPr>
                <w:sz w:val="28"/>
                <w:szCs w:val="28"/>
              </w:rPr>
              <w:t xml:space="preserve">за 2019 </w:t>
            </w:r>
            <w:r w:rsidRPr="00911E18">
              <w:rPr>
                <w:sz w:val="28"/>
                <w:szCs w:val="28"/>
              </w:rPr>
              <w:t xml:space="preserve">год, составила </w:t>
            </w:r>
            <w:r>
              <w:rPr>
                <w:sz w:val="28"/>
                <w:szCs w:val="28"/>
              </w:rPr>
              <w:t>14679,3</w:t>
            </w:r>
            <w:r w:rsidRPr="00911E18">
              <w:rPr>
                <w:sz w:val="28"/>
                <w:szCs w:val="28"/>
              </w:rPr>
              <w:t xml:space="preserve"> руб., что больше уровня прошлого года на </w:t>
            </w:r>
            <w:r>
              <w:rPr>
                <w:sz w:val="28"/>
                <w:szCs w:val="28"/>
              </w:rPr>
              <w:t>5</w:t>
            </w:r>
            <w:r w:rsidRPr="00911E18">
              <w:rPr>
                <w:sz w:val="28"/>
                <w:szCs w:val="28"/>
              </w:rPr>
              <w:t>%.</w:t>
            </w:r>
          </w:p>
          <w:p w:rsidR="00032ACA" w:rsidRPr="00911E18" w:rsidRDefault="00032ACA" w:rsidP="00032ACA">
            <w:pPr>
              <w:pStyle w:val="a3"/>
              <w:ind w:firstLine="360"/>
              <w:jc w:val="both"/>
              <w:rPr>
                <w:iCs/>
                <w:sz w:val="28"/>
                <w:szCs w:val="28"/>
              </w:rPr>
            </w:pPr>
            <w:r w:rsidRPr="00911E18">
              <w:rPr>
                <w:iCs/>
                <w:sz w:val="28"/>
                <w:szCs w:val="28"/>
              </w:rPr>
              <w:t>5. Валовой внутренний продукт, по сравнению с аналогичным периодом 201</w:t>
            </w:r>
            <w:r>
              <w:rPr>
                <w:iCs/>
                <w:sz w:val="28"/>
                <w:szCs w:val="28"/>
              </w:rPr>
              <w:t>8</w:t>
            </w:r>
            <w:r w:rsidRPr="00911E18">
              <w:rPr>
                <w:iCs/>
                <w:sz w:val="28"/>
                <w:szCs w:val="28"/>
              </w:rPr>
              <w:t xml:space="preserve"> года </w:t>
            </w:r>
            <w:r>
              <w:rPr>
                <w:iCs/>
                <w:sz w:val="28"/>
                <w:szCs w:val="28"/>
              </w:rPr>
              <w:t>увеличился</w:t>
            </w:r>
            <w:r w:rsidRPr="00911E18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2,2</w:t>
            </w:r>
            <w:r w:rsidRPr="00911E18">
              <w:rPr>
                <w:iCs/>
                <w:sz w:val="28"/>
                <w:szCs w:val="28"/>
              </w:rPr>
              <w:t xml:space="preserve">% и составил </w:t>
            </w:r>
            <w:r>
              <w:rPr>
                <w:iCs/>
                <w:sz w:val="28"/>
                <w:szCs w:val="28"/>
              </w:rPr>
              <w:t>470,1</w:t>
            </w:r>
            <w:r w:rsidRPr="00911E18">
              <w:rPr>
                <w:iCs/>
                <w:sz w:val="28"/>
                <w:szCs w:val="28"/>
              </w:rPr>
              <w:t xml:space="preserve"> млн</w:t>
            </w:r>
            <w:proofErr w:type="gramStart"/>
            <w:r w:rsidRPr="00911E18">
              <w:rPr>
                <w:iCs/>
                <w:sz w:val="28"/>
                <w:szCs w:val="28"/>
              </w:rPr>
              <w:t>.р</w:t>
            </w:r>
            <w:proofErr w:type="gramEnd"/>
            <w:r w:rsidRPr="00911E18">
              <w:rPr>
                <w:iCs/>
                <w:sz w:val="28"/>
                <w:szCs w:val="28"/>
              </w:rPr>
              <w:t>уб.</w:t>
            </w:r>
          </w:p>
          <w:p w:rsidR="00746CD1" w:rsidRPr="002F4947" w:rsidRDefault="00746CD1" w:rsidP="00032ACA">
            <w:pPr>
              <w:pStyle w:val="a3"/>
              <w:ind w:left="709" w:firstLine="425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64462B" w:rsidRPr="0011767D" w:rsidRDefault="00270BF8" w:rsidP="00F71522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11767D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D97A89">
        <w:rPr>
          <w:b/>
          <w:color w:val="244061" w:themeColor="accent1" w:themeShade="80"/>
          <w:u w:val="single"/>
        </w:rPr>
        <w:t>СИРОВАНИЮ ЗА СЧЕТ БЮДЖЕТА В 2019</w:t>
      </w:r>
      <w:r w:rsidRPr="0011767D">
        <w:rPr>
          <w:b/>
          <w:color w:val="244061" w:themeColor="accent1" w:themeShade="80"/>
          <w:u w:val="single"/>
        </w:rPr>
        <w:t xml:space="preserve"> ГОДУ</w:t>
      </w:r>
    </w:p>
    <w:p w:rsidR="00F71522" w:rsidRPr="0011767D" w:rsidRDefault="00F71522" w:rsidP="00F71522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74"/>
      </w:tblGrid>
      <w:tr w:rsidR="00C83A64" w:rsidTr="00F71522">
        <w:trPr>
          <w:cnfStyle w:val="100000000000"/>
          <w:trHeight w:val="47"/>
        </w:trPr>
        <w:tc>
          <w:tcPr>
            <w:cnfStyle w:val="001000000000"/>
            <w:tcW w:w="10974" w:type="dxa"/>
          </w:tcPr>
          <w:p w:rsidR="002704CA" w:rsidRPr="0011767D" w:rsidRDefault="00F71522" w:rsidP="00D62B3E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   </w:t>
            </w:r>
            <w:r w:rsidR="00A82343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Участие в программе местных инициатив позволило </w:t>
            </w:r>
            <w:r w:rsidR="007D57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приобрести мобильные пожарные</w:t>
            </w:r>
            <w:r w:rsidR="004B3FFC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7D57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комплексы</w:t>
            </w:r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МПК-4,0 и МПК-0,3</w:t>
            </w:r>
            <w:r w:rsidR="00ED718B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для с. </w:t>
            </w:r>
            <w:proofErr w:type="spellStart"/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Стригай</w:t>
            </w:r>
            <w:proofErr w:type="spellEnd"/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Старожуковского</w:t>
            </w:r>
            <w:proofErr w:type="spellEnd"/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муниципального образования.</w:t>
            </w:r>
            <w:r w:rsidR="00A82343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3C666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F71522" w:rsidRPr="0011767D" w:rsidRDefault="00F71522" w:rsidP="00D62B3E">
            <w:pPr>
              <w:pStyle w:val="3"/>
              <w:outlineLvl w:val="2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  </w:t>
            </w:r>
            <w:r w:rsidR="00A82343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По условиям конкурса из бюджета муниципального образования выделено 10% (это </w:t>
            </w:r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110,0</w:t>
            </w:r>
            <w:r w:rsidR="00A82343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тыс. рублей), ю</w:t>
            </w:r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ридические лица и КФХ собрали 41,0</w:t>
            </w:r>
            <w:r w:rsidR="00A82343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тыс. рублей, жители внесли свой вклад в сумме </w:t>
            </w:r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33,0</w:t>
            </w:r>
            <w:r w:rsidR="00A82343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тыс. рублей, областная субсидия составила в сумме </w:t>
            </w:r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916,0</w:t>
            </w:r>
            <w:r w:rsidR="00A82343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тыс. рублей. Общая сумма в итоге составила 1</w:t>
            </w:r>
            <w:r w:rsidR="002704CA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 100,0</w:t>
            </w:r>
            <w:r w:rsidR="00A82343" w:rsidRPr="0011767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тыс. рублей. </w:t>
            </w:r>
          </w:p>
          <w:p w:rsidR="00C83A64" w:rsidRPr="0011767D" w:rsidRDefault="00F71522" w:rsidP="002704CA">
            <w:pPr>
              <w:pStyle w:val="3"/>
              <w:outlineLvl w:val="2"/>
            </w:pPr>
            <w:r w:rsidRPr="0011767D">
              <w:rPr>
                <w:color w:val="17365D" w:themeColor="text2" w:themeShade="BF"/>
                <w:sz w:val="28"/>
                <w:szCs w:val="28"/>
              </w:rPr>
              <w:t xml:space="preserve">         </w:t>
            </w:r>
          </w:p>
        </w:tc>
      </w:tr>
    </w:tbl>
    <w:p w:rsidR="0095380B" w:rsidRDefault="0095380B" w:rsidP="00F71522">
      <w:pPr>
        <w:spacing w:line="276" w:lineRule="auto"/>
        <w:rPr>
          <w:b/>
          <w:color w:val="244061" w:themeColor="accent1" w:themeShade="80"/>
          <w:sz w:val="28"/>
          <w:szCs w:val="28"/>
          <w:u w:val="single"/>
        </w:rPr>
      </w:pPr>
    </w:p>
    <w:p w:rsidR="00F71522" w:rsidRDefault="00F71522" w:rsidP="00F71522">
      <w:pPr>
        <w:spacing w:line="276" w:lineRule="auto"/>
        <w:rPr>
          <w:b/>
          <w:color w:val="244061" w:themeColor="accent1" w:themeShade="80"/>
          <w:sz w:val="28"/>
          <w:szCs w:val="28"/>
          <w:u w:val="single"/>
        </w:rPr>
      </w:pPr>
    </w:p>
    <w:p w:rsidR="00C03DFD" w:rsidRDefault="00C03DFD" w:rsidP="00F71522">
      <w:pPr>
        <w:spacing w:line="276" w:lineRule="auto"/>
        <w:rPr>
          <w:b/>
          <w:color w:val="244061" w:themeColor="accent1" w:themeShade="80"/>
          <w:sz w:val="28"/>
          <w:szCs w:val="28"/>
          <w:u w:val="single"/>
        </w:rPr>
      </w:pPr>
    </w:p>
    <w:p w:rsidR="00F71522" w:rsidRDefault="00F71522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523042" w:rsidRDefault="00523042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523042" w:rsidRDefault="00523042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523042" w:rsidRDefault="00523042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FE051D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E051D">
        <w:rPr>
          <w:b/>
          <w:color w:val="244061" w:themeColor="accent1" w:themeShade="80"/>
          <w:sz w:val="28"/>
          <w:szCs w:val="28"/>
          <w:u w:val="single"/>
        </w:rPr>
        <w:t>Показатели бюджета для граждан</w:t>
      </w:r>
    </w:p>
    <w:p w:rsidR="0064462B" w:rsidRPr="00FE051D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FE051D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FE051D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FE051D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FE051D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FE051D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FE051D">
              <w:rPr>
                <w:b w:val="0"/>
                <w:i/>
                <w:color w:val="FFFFFF"/>
                <w:sz w:val="24"/>
                <w:szCs w:val="24"/>
              </w:rPr>
              <w:t xml:space="preserve"> п/п</w:t>
            </w:r>
          </w:p>
        </w:tc>
        <w:tc>
          <w:tcPr>
            <w:tcW w:w="5008" w:type="dxa"/>
            <w:vMerge w:val="restart"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FE051D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FE051D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FE051D" w:rsidRDefault="0004351D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FE051D">
              <w:rPr>
                <w:b w:val="0"/>
                <w:i/>
                <w:color w:val="FFFFFF"/>
                <w:sz w:val="24"/>
                <w:szCs w:val="24"/>
              </w:rPr>
              <w:t>201</w:t>
            </w:r>
            <w:r w:rsidR="00FE051D">
              <w:rPr>
                <w:b w:val="0"/>
                <w:i/>
                <w:color w:val="FFFFFF"/>
                <w:sz w:val="24"/>
                <w:szCs w:val="24"/>
              </w:rPr>
              <w:t>9</w:t>
            </w:r>
            <w:r w:rsidR="00C76DFD" w:rsidRPr="00FE051D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64462B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FE051D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FE051D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230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FE051D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6A63A5" w:rsidRPr="0064462B" w:rsidTr="002F4947">
        <w:trPr>
          <w:trHeight w:val="807"/>
        </w:trPr>
        <w:tc>
          <w:tcPr>
            <w:cnfStyle w:val="001000000000"/>
            <w:tcW w:w="865" w:type="dxa"/>
          </w:tcPr>
          <w:p w:rsidR="006A63A5" w:rsidRPr="0064462B" w:rsidRDefault="006A63A5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6A63A5" w:rsidRPr="006A63A5" w:rsidRDefault="00FE051D" w:rsidP="006A63A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3" w:type="dxa"/>
            <w:vAlign w:val="bottom"/>
          </w:tcPr>
          <w:p w:rsidR="006A63A5" w:rsidRPr="00FE051D" w:rsidRDefault="00FE051D" w:rsidP="006A63A5">
            <w:pPr>
              <w:jc w:val="center"/>
              <w:cnfStyle w:val="00000000000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6A63A5" w:rsidRPr="0064462B" w:rsidTr="002F4947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6A63A5" w:rsidRPr="00FE051D" w:rsidRDefault="00FE051D" w:rsidP="006A63A5">
            <w:pPr>
              <w:jc w:val="center"/>
              <w:cnfStyle w:val="00000010000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  <w:vAlign w:val="bottom"/>
          </w:tcPr>
          <w:p w:rsidR="006A63A5" w:rsidRPr="00FE051D" w:rsidRDefault="00FE051D" w:rsidP="006A63A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6A63A5" w:rsidRPr="0064462B" w:rsidTr="002F4947">
        <w:trPr>
          <w:trHeight w:val="1200"/>
        </w:trPr>
        <w:tc>
          <w:tcPr>
            <w:cnfStyle w:val="001000000000"/>
            <w:tcW w:w="865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6A63A5" w:rsidRPr="006A63A5" w:rsidRDefault="00FE051D" w:rsidP="006A63A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983" w:type="dxa"/>
            <w:vAlign w:val="bottom"/>
          </w:tcPr>
          <w:p w:rsidR="006A63A5" w:rsidRPr="006A63A5" w:rsidRDefault="00FE051D" w:rsidP="006A63A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123,3</w:t>
            </w:r>
          </w:p>
        </w:tc>
      </w:tr>
      <w:tr w:rsidR="006A63A5" w:rsidRPr="0064462B" w:rsidTr="002F4947">
        <w:trPr>
          <w:cnfStyle w:val="000000100000"/>
          <w:trHeight w:val="1200"/>
        </w:trPr>
        <w:tc>
          <w:tcPr>
            <w:cnfStyle w:val="001000000000"/>
            <w:tcW w:w="865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6A63A5" w:rsidRPr="006A63A5" w:rsidRDefault="00FE051D" w:rsidP="006A63A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1 889,4</w:t>
            </w:r>
          </w:p>
        </w:tc>
        <w:tc>
          <w:tcPr>
            <w:tcW w:w="1983" w:type="dxa"/>
            <w:vAlign w:val="bottom"/>
          </w:tcPr>
          <w:p w:rsidR="006A63A5" w:rsidRPr="006A63A5" w:rsidRDefault="00FE051D" w:rsidP="006A63A5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1 640,1</w:t>
            </w:r>
          </w:p>
        </w:tc>
      </w:tr>
      <w:tr w:rsidR="006A63A5" w:rsidRPr="0064462B" w:rsidTr="002F4947">
        <w:trPr>
          <w:trHeight w:val="1658"/>
        </w:trPr>
        <w:tc>
          <w:tcPr>
            <w:cnfStyle w:val="001000000000"/>
            <w:tcW w:w="865" w:type="dxa"/>
          </w:tcPr>
          <w:p w:rsidR="006A63A5" w:rsidRPr="0064462B" w:rsidRDefault="00BA4F10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6A63A5" w:rsidRPr="006A63A5" w:rsidRDefault="00FE051D" w:rsidP="006A63A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1983" w:type="dxa"/>
            <w:vAlign w:val="bottom"/>
          </w:tcPr>
          <w:p w:rsidR="006A63A5" w:rsidRPr="006A63A5" w:rsidRDefault="00FE051D" w:rsidP="006A63A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579,3</w:t>
            </w:r>
          </w:p>
        </w:tc>
      </w:tr>
      <w:tr w:rsidR="00C76DFD" w:rsidRPr="0064462B" w:rsidTr="0064462B">
        <w:trPr>
          <w:cnfStyle w:val="000000100000"/>
          <w:trHeight w:val="1876"/>
        </w:trPr>
        <w:tc>
          <w:tcPr>
            <w:cnfStyle w:val="001000000000"/>
            <w:tcW w:w="865" w:type="dxa"/>
          </w:tcPr>
          <w:p w:rsidR="00C76DFD" w:rsidRPr="0064462B" w:rsidRDefault="00BA4F10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6A63A5" w:rsidRDefault="00A72CAF" w:rsidP="006A63A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A63A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6A63A5" w:rsidRDefault="00A72CAF" w:rsidP="006A63A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A63A5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6A63A5" w:rsidRPr="0064462B" w:rsidTr="002F4947">
        <w:trPr>
          <w:trHeight w:val="2073"/>
        </w:trPr>
        <w:tc>
          <w:tcPr>
            <w:cnfStyle w:val="001000000000"/>
            <w:tcW w:w="865" w:type="dxa"/>
          </w:tcPr>
          <w:p w:rsidR="006A63A5" w:rsidRPr="0064462B" w:rsidRDefault="00BA4F10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6A63A5" w:rsidRPr="0064462B" w:rsidRDefault="006A63A5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9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6A63A5" w:rsidRPr="006A63A5" w:rsidRDefault="00FE051D" w:rsidP="006A63A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2 262,2</w:t>
            </w:r>
          </w:p>
        </w:tc>
        <w:tc>
          <w:tcPr>
            <w:tcW w:w="1983" w:type="dxa"/>
            <w:vAlign w:val="bottom"/>
          </w:tcPr>
          <w:p w:rsidR="006A63A5" w:rsidRPr="006A63A5" w:rsidRDefault="00FE051D" w:rsidP="006A63A5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2 237,9</w:t>
            </w:r>
          </w:p>
        </w:tc>
      </w:tr>
      <w:tr w:rsidR="00C76DFD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C76DFD" w:rsidRPr="0064462B" w:rsidRDefault="00BA4F10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6A63A5" w:rsidRDefault="00C76DFD" w:rsidP="006A63A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A63A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6A63A5" w:rsidRDefault="00C76DFD" w:rsidP="006A63A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A63A5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5B3536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5B3536"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201</w:t>
      </w:r>
      <w:r w:rsidR="00EB36F6">
        <w:rPr>
          <w:b/>
          <w:bCs/>
          <w:iCs/>
          <w:color w:val="244061" w:themeColor="accent1" w:themeShade="80"/>
          <w:sz w:val="28"/>
          <w:szCs w:val="28"/>
          <w:u w:val="single"/>
        </w:rPr>
        <w:t>9</w:t>
      </w:r>
      <w:r w:rsidRPr="005B3536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6A63A5" w:rsidRPr="00C50AD7" w:rsidTr="002F4947">
        <w:trPr>
          <w:cnfStyle w:val="100000000000"/>
        </w:trPr>
        <w:tc>
          <w:tcPr>
            <w:cnfStyle w:val="001000000000"/>
            <w:tcW w:w="775" w:type="dxa"/>
          </w:tcPr>
          <w:p w:rsidR="006A63A5" w:rsidRPr="00C50AD7" w:rsidRDefault="006A63A5" w:rsidP="002F4947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№ п/п</w:t>
            </w:r>
          </w:p>
        </w:tc>
        <w:tc>
          <w:tcPr>
            <w:cnfStyle w:val="000010000000"/>
            <w:tcW w:w="6662" w:type="dxa"/>
          </w:tcPr>
          <w:p w:rsidR="006A63A5" w:rsidRPr="00C50AD7" w:rsidRDefault="006A63A5" w:rsidP="002F4947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6A63A5" w:rsidRPr="0064462B" w:rsidRDefault="006A63A5" w:rsidP="002F494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cnfStyle w:val="000010000000"/>
            <w:tcW w:w="1134" w:type="dxa"/>
            <w:vAlign w:val="center"/>
          </w:tcPr>
          <w:p w:rsidR="006A63A5" w:rsidRPr="0064462B" w:rsidRDefault="006A63A5" w:rsidP="002F494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  <w:tc>
          <w:tcPr>
            <w:tcW w:w="1321" w:type="dxa"/>
          </w:tcPr>
          <w:p w:rsidR="006A63A5" w:rsidRPr="00C50AD7" w:rsidRDefault="006A63A5" w:rsidP="002F4947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4 462,3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3 849,4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86,2</w:t>
            </w:r>
            <w:r w:rsidR="006A63A5">
              <w:rPr>
                <w:b/>
                <w:bCs/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893,3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660,8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73,9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 xml:space="preserve">Единый </w:t>
            </w:r>
            <w:r>
              <w:rPr>
                <w:i/>
                <w:iCs/>
              </w:rPr>
              <w:t>сельскохозяйственный налог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507,4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285,4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56,2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Налог на имущество физических </w:t>
            </w:r>
            <w:r w:rsidRPr="00625397">
              <w:rPr>
                <w:i/>
                <w:iCs/>
              </w:rPr>
              <w:t xml:space="preserve"> лиц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375,0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201,8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53,8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2 685,6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2 700,0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100,5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rPr>
          <w:trHeight w:val="592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1,4</w:t>
            </w:r>
          </w:p>
        </w:tc>
        <w:tc>
          <w:tcPr>
            <w:tcW w:w="1321" w:type="dxa"/>
          </w:tcPr>
          <w:p w:rsidR="006A63A5" w:rsidRPr="00625397" w:rsidRDefault="00EB36F6" w:rsidP="00EB36F6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140,0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36,6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12,6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34,3</w:t>
            </w:r>
            <w:r w:rsidR="006A63A5">
              <w:rPr>
                <w:b/>
                <w:bCs/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28,6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6A63A5" w:rsidRPr="00625397" w:rsidRDefault="006A63A5" w:rsidP="002F494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6A63A5" w:rsidRPr="00625397" w:rsidRDefault="006A63A5" w:rsidP="002F494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6A63A5" w:rsidRPr="00625397" w:rsidRDefault="00EB36F6" w:rsidP="002F4947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доходы от использования имущества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12,6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157,3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4 498,9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3 861,9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85,8</w:t>
            </w:r>
            <w:r w:rsidR="006A63A5">
              <w:rPr>
                <w:b/>
                <w:bCs/>
                <w:i/>
                <w:iCs/>
              </w:rPr>
              <w:t>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8 093,8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7 763,3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95,9</w:t>
            </w:r>
            <w:r w:rsidR="006A63A5">
              <w:rPr>
                <w:b/>
                <w:bCs/>
                <w:i/>
                <w:iCs/>
              </w:rPr>
              <w:t xml:space="preserve"> 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99,9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99,9</w:t>
            </w: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Субсидия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916,0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916,0</w:t>
            </w: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207,3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207,3</w:t>
            </w: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6 796,6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6 566,2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96,6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74,0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74,0</w:t>
            </w: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Возвраты</w:t>
            </w:r>
          </w:p>
        </w:tc>
        <w:tc>
          <w:tcPr>
            <w:tcW w:w="1130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6A63A5" w:rsidRPr="00625397" w:rsidRDefault="006A63A5" w:rsidP="002F494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</w:tcPr>
          <w:p w:rsidR="006A63A5" w:rsidRPr="00625397" w:rsidRDefault="00F30864" w:rsidP="002F4947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12 592,7</w:t>
            </w:r>
          </w:p>
        </w:tc>
        <w:tc>
          <w:tcPr>
            <w:cnfStyle w:val="000010000000"/>
            <w:tcW w:w="1134" w:type="dxa"/>
          </w:tcPr>
          <w:p w:rsidR="006A63A5" w:rsidRPr="00625397" w:rsidRDefault="00F30864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11 725,3</w:t>
            </w:r>
          </w:p>
        </w:tc>
        <w:tc>
          <w:tcPr>
            <w:tcW w:w="1321" w:type="dxa"/>
          </w:tcPr>
          <w:p w:rsidR="006A63A5" w:rsidRPr="00625397" w:rsidRDefault="00F30864" w:rsidP="002F4947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93,1</w:t>
            </w:r>
            <w:r w:rsidR="006A63A5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5B3536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5B3536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 w:rsidRPr="005B353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5B3536">
        <w:rPr>
          <w:b/>
          <w:color w:val="244061" w:themeColor="accent1" w:themeShade="80"/>
          <w:sz w:val="28"/>
          <w:szCs w:val="28"/>
          <w:u w:val="single"/>
        </w:rPr>
        <w:t>бюджета за 201</w:t>
      </w:r>
      <w:r w:rsidR="00F30864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5B3536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39052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183C72" w:rsidRPr="0064462B">
        <w:rPr>
          <w:b/>
          <w:bCs/>
          <w:color w:val="244061" w:themeColor="accent1" w:themeShade="80"/>
          <w:sz w:val="28"/>
          <w:szCs w:val="28"/>
          <w:u w:val="single"/>
        </w:rPr>
        <w:t>за 201</w:t>
      </w:r>
      <w:r w:rsidR="002F4947">
        <w:rPr>
          <w:b/>
          <w:bCs/>
          <w:color w:val="244061" w:themeColor="accent1" w:themeShade="80"/>
          <w:sz w:val="28"/>
          <w:szCs w:val="28"/>
          <w:u w:val="single"/>
          <w:lang w:val="en-US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(тыс.рублей)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(тыс.рублей)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554065" w:rsidRPr="0064462B" w:rsidTr="002F4947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554065" w:rsidRPr="002F4947" w:rsidRDefault="002F4947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5 717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81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4 590,6</w:t>
            </w:r>
          </w:p>
        </w:tc>
        <w:tc>
          <w:tcPr>
            <w:tcW w:w="890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80,3</w:t>
            </w:r>
          </w:p>
        </w:tc>
      </w:tr>
      <w:tr w:rsidR="00554065" w:rsidRPr="0064462B" w:rsidTr="002F4947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554065" w:rsidRPr="00CF5E77" w:rsidRDefault="002F4947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4 567,3</w:t>
            </w:r>
          </w:p>
        </w:tc>
        <w:tc>
          <w:tcPr>
            <w:tcW w:w="1581" w:type="dxa"/>
            <w:vAlign w:val="center"/>
          </w:tcPr>
          <w:p w:rsidR="00554065" w:rsidRPr="00CF5E77" w:rsidRDefault="002F4947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4 518,4</w:t>
            </w:r>
          </w:p>
        </w:tc>
        <w:tc>
          <w:tcPr>
            <w:tcW w:w="890" w:type="dxa"/>
            <w:vAlign w:val="center"/>
          </w:tcPr>
          <w:p w:rsidR="00554065" w:rsidRPr="00CF5E77" w:rsidRDefault="002F4947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1 149,7</w:t>
            </w:r>
          </w:p>
        </w:tc>
        <w:tc>
          <w:tcPr>
            <w:tcW w:w="1581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890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554065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554065" w:rsidRPr="00CF5E77" w:rsidRDefault="002F4947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  <w:vAlign w:val="center"/>
          </w:tcPr>
          <w:p w:rsidR="00554065" w:rsidRPr="00CF5E77" w:rsidRDefault="002F4947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  <w:vAlign w:val="center"/>
          </w:tcPr>
          <w:p w:rsidR="00554065" w:rsidRPr="00CF5E77" w:rsidRDefault="00554065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CF5E77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  <w:vAlign w:val="center"/>
          </w:tcPr>
          <w:p w:rsidR="00554065" w:rsidRPr="00CF5E77" w:rsidRDefault="00554065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F5E7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4947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2F4947" w:rsidRPr="0064462B" w:rsidRDefault="002F4947" w:rsidP="002F4947">
            <w:pPr>
              <w:jc w:val="center"/>
              <w:rPr>
                <w:i/>
              </w:rPr>
            </w:pPr>
            <w:r>
              <w:rPr>
                <w:i/>
              </w:rPr>
              <w:t>03 00</w:t>
            </w:r>
          </w:p>
        </w:tc>
        <w:tc>
          <w:tcPr>
            <w:tcW w:w="5290" w:type="dxa"/>
          </w:tcPr>
          <w:p w:rsidR="002F4947" w:rsidRPr="002F4947" w:rsidRDefault="002F4947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2F4947">
              <w:rPr>
                <w:b/>
                <w:bCs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5" w:type="dxa"/>
            <w:vAlign w:val="center"/>
          </w:tcPr>
          <w:p w:rsidR="002F4947" w:rsidRPr="002F4947" w:rsidRDefault="002F4947" w:rsidP="00CF5E77">
            <w:pPr>
              <w:jc w:val="center"/>
              <w:cnfStyle w:val="000000000000"/>
              <w:rPr>
                <w:b/>
                <w:color w:val="000000"/>
              </w:rPr>
            </w:pPr>
            <w:r w:rsidRPr="002F4947">
              <w:rPr>
                <w:b/>
                <w:color w:val="000000"/>
              </w:rPr>
              <w:t>1 100,0</w:t>
            </w:r>
          </w:p>
        </w:tc>
        <w:tc>
          <w:tcPr>
            <w:tcW w:w="1581" w:type="dxa"/>
            <w:vAlign w:val="center"/>
          </w:tcPr>
          <w:p w:rsidR="002F4947" w:rsidRPr="002F4947" w:rsidRDefault="002F4947" w:rsidP="00CF5E77">
            <w:pPr>
              <w:jc w:val="center"/>
              <w:cnfStyle w:val="000000000000"/>
              <w:rPr>
                <w:b/>
                <w:color w:val="000000"/>
              </w:rPr>
            </w:pPr>
            <w:r w:rsidRPr="002F4947">
              <w:rPr>
                <w:b/>
                <w:color w:val="000000"/>
              </w:rPr>
              <w:t>1 100,0</w:t>
            </w:r>
          </w:p>
        </w:tc>
        <w:tc>
          <w:tcPr>
            <w:tcW w:w="890" w:type="dxa"/>
            <w:vAlign w:val="center"/>
          </w:tcPr>
          <w:p w:rsidR="002F4947" w:rsidRPr="002F4947" w:rsidRDefault="002F4947" w:rsidP="00CF5E77">
            <w:pPr>
              <w:jc w:val="center"/>
              <w:cnfStyle w:val="000000000000"/>
              <w:rPr>
                <w:b/>
                <w:color w:val="000000"/>
              </w:rPr>
            </w:pPr>
            <w:r w:rsidRPr="002F4947">
              <w:rPr>
                <w:b/>
                <w:color w:val="000000"/>
              </w:rPr>
              <w:t>100,0</w:t>
            </w:r>
          </w:p>
        </w:tc>
      </w:tr>
      <w:tr w:rsidR="002F4947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2F4947" w:rsidRPr="002F4947" w:rsidRDefault="002F4947" w:rsidP="002F4947">
            <w:pPr>
              <w:jc w:val="center"/>
              <w:rPr>
                <w:b w:val="0"/>
                <w:i/>
              </w:rPr>
            </w:pPr>
            <w:r w:rsidRPr="002F4947">
              <w:rPr>
                <w:b w:val="0"/>
                <w:i/>
              </w:rPr>
              <w:t>03 09</w:t>
            </w:r>
          </w:p>
        </w:tc>
        <w:tc>
          <w:tcPr>
            <w:tcW w:w="5290" w:type="dxa"/>
          </w:tcPr>
          <w:p w:rsidR="002F4947" w:rsidRPr="002F4947" w:rsidRDefault="002F4947" w:rsidP="00C76DFD">
            <w:pPr>
              <w:cnfStyle w:val="000000100000"/>
              <w:rPr>
                <w:bCs/>
                <w:i/>
              </w:rPr>
            </w:pPr>
            <w:r w:rsidRPr="002F4947">
              <w:rPr>
                <w:bCs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25" w:type="dxa"/>
            <w:vAlign w:val="center"/>
          </w:tcPr>
          <w:p w:rsidR="002F4947" w:rsidRPr="0008525C" w:rsidRDefault="002F4947" w:rsidP="00CF5E77">
            <w:pPr>
              <w:jc w:val="center"/>
              <w:cnfStyle w:val="000000100000"/>
              <w:rPr>
                <w:color w:val="000000"/>
              </w:rPr>
            </w:pPr>
            <w:r w:rsidRPr="0008525C">
              <w:rPr>
                <w:color w:val="000000"/>
              </w:rPr>
              <w:t>1 100,00</w:t>
            </w:r>
          </w:p>
        </w:tc>
        <w:tc>
          <w:tcPr>
            <w:tcW w:w="1581" w:type="dxa"/>
            <w:vAlign w:val="center"/>
          </w:tcPr>
          <w:p w:rsidR="002F4947" w:rsidRPr="0008525C" w:rsidRDefault="002F4947" w:rsidP="00CF5E77">
            <w:pPr>
              <w:jc w:val="center"/>
              <w:cnfStyle w:val="000000100000"/>
              <w:rPr>
                <w:color w:val="000000"/>
                <w:lang w:val="en-US"/>
              </w:rPr>
            </w:pPr>
            <w:r w:rsidRPr="0008525C">
              <w:rPr>
                <w:color w:val="000000"/>
              </w:rPr>
              <w:t>1 100,00</w:t>
            </w:r>
          </w:p>
        </w:tc>
        <w:tc>
          <w:tcPr>
            <w:tcW w:w="890" w:type="dxa"/>
            <w:vAlign w:val="center"/>
          </w:tcPr>
          <w:p w:rsidR="002F4947" w:rsidRPr="0008525C" w:rsidRDefault="0008525C" w:rsidP="00CF5E77">
            <w:pPr>
              <w:jc w:val="center"/>
              <w:cnfStyle w:val="000000100000"/>
              <w:rPr>
                <w:color w:val="000000"/>
              </w:rPr>
            </w:pPr>
            <w:r w:rsidRPr="0008525C">
              <w:rPr>
                <w:color w:val="000000"/>
                <w:lang w:val="en-US"/>
              </w:rPr>
              <w:t>100</w:t>
            </w:r>
            <w:r w:rsidRPr="0008525C">
              <w:rPr>
                <w:color w:val="000000"/>
              </w:rPr>
              <w:t>,0</w:t>
            </w:r>
          </w:p>
        </w:tc>
      </w:tr>
      <w:tr w:rsidR="00554065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</w:tcPr>
          <w:p w:rsidR="00554065" w:rsidRPr="0064462B" w:rsidRDefault="00554065" w:rsidP="002F4947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554065" w:rsidRPr="0064462B" w:rsidRDefault="00554065" w:rsidP="002F4947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554065" w:rsidRPr="00CF5E77" w:rsidRDefault="0008525C" w:rsidP="0008525C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1 515,3</w:t>
            </w:r>
          </w:p>
        </w:tc>
        <w:tc>
          <w:tcPr>
            <w:tcW w:w="1581" w:type="dxa"/>
            <w:vAlign w:val="center"/>
          </w:tcPr>
          <w:p w:rsidR="00554065" w:rsidRPr="00CF5E77" w:rsidRDefault="00554065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CF5E77">
              <w:rPr>
                <w:b/>
                <w:color w:val="000000"/>
                <w:sz w:val="24"/>
                <w:szCs w:val="24"/>
              </w:rPr>
              <w:t>1</w:t>
            </w:r>
            <w:r w:rsidR="0008525C">
              <w:rPr>
                <w:b/>
                <w:color w:val="000000"/>
                <w:sz w:val="24"/>
                <w:szCs w:val="24"/>
              </w:rPr>
              <w:t> 509,3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99,6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554065" w:rsidRPr="0064462B" w:rsidRDefault="00554065" w:rsidP="002F494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554065" w:rsidRPr="0064462B" w:rsidRDefault="00554065" w:rsidP="002F4947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1 368,8</w:t>
            </w:r>
          </w:p>
        </w:tc>
        <w:tc>
          <w:tcPr>
            <w:tcW w:w="1581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1 368,8</w:t>
            </w:r>
          </w:p>
        </w:tc>
        <w:tc>
          <w:tcPr>
            <w:tcW w:w="890" w:type="dxa"/>
            <w:vAlign w:val="center"/>
          </w:tcPr>
          <w:p w:rsidR="00554065" w:rsidRPr="00CF5E77" w:rsidRDefault="00554065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F5E7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4065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581" w:type="dxa"/>
            <w:vAlign w:val="center"/>
          </w:tcPr>
          <w:p w:rsidR="00554065" w:rsidRPr="00CF5E77" w:rsidRDefault="00554065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F5E77">
              <w:rPr>
                <w:color w:val="000000"/>
                <w:sz w:val="24"/>
                <w:szCs w:val="24"/>
              </w:rPr>
              <w:t>1</w:t>
            </w:r>
            <w:r w:rsidR="0008525C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581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66,2</w:t>
            </w:r>
          </w:p>
        </w:tc>
      </w:tr>
      <w:tr w:rsidR="00554065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581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66,2</w:t>
            </w:r>
          </w:p>
        </w:tc>
      </w:tr>
      <w:tr w:rsidR="00554065" w:rsidRPr="001453AE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3 814,7</w:t>
            </w:r>
          </w:p>
        </w:tc>
        <w:tc>
          <w:tcPr>
            <w:tcW w:w="1581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3 311,4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86,8</w:t>
            </w:r>
          </w:p>
        </w:tc>
      </w:tr>
      <w:tr w:rsidR="00554065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3 814,7</w:t>
            </w:r>
          </w:p>
        </w:tc>
        <w:tc>
          <w:tcPr>
            <w:tcW w:w="1581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3 311,4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08525C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12 730,5</w:t>
            </w:r>
          </w:p>
        </w:tc>
        <w:tc>
          <w:tcPr>
            <w:tcW w:w="1581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10 967,6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86,2</w:t>
            </w:r>
          </w:p>
        </w:tc>
      </w:tr>
      <w:tr w:rsidR="00554065" w:rsidRPr="0064462B" w:rsidTr="002F4947">
        <w:trPr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554065" w:rsidRPr="0064462B" w:rsidRDefault="00554065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профицит «+»)</w:t>
            </w:r>
          </w:p>
        </w:tc>
        <w:tc>
          <w:tcPr>
            <w:tcW w:w="1725" w:type="dxa"/>
            <w:vAlign w:val="center"/>
          </w:tcPr>
          <w:p w:rsidR="00554065" w:rsidRPr="00CF5E77" w:rsidRDefault="00554065" w:rsidP="0008525C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F5E77">
              <w:rPr>
                <w:color w:val="000000"/>
                <w:sz w:val="24"/>
                <w:szCs w:val="24"/>
              </w:rPr>
              <w:t xml:space="preserve">-  </w:t>
            </w:r>
            <w:r w:rsidR="0008525C">
              <w:rPr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581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890" w:type="dxa"/>
          </w:tcPr>
          <w:p w:rsidR="00554065" w:rsidRPr="00CF5E77" w:rsidRDefault="00554065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F5E77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6A1E07" w:rsidRPr="0064462B">
        <w:rPr>
          <w:b/>
          <w:color w:val="244061" w:themeColor="accent1" w:themeShade="80"/>
          <w:sz w:val="28"/>
          <w:szCs w:val="28"/>
          <w:u w:val="single"/>
        </w:rPr>
        <w:t>за 201</w:t>
      </w:r>
      <w:r w:rsidR="0008525C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6A1E07" w:rsidRPr="0064462B">
        <w:rPr>
          <w:b/>
          <w:bCs/>
          <w:color w:val="244061" w:themeColor="accent1" w:themeShade="80"/>
          <w:sz w:val="28"/>
          <w:szCs w:val="28"/>
          <w:u w:val="single"/>
        </w:rPr>
        <w:t>201</w:t>
      </w:r>
      <w:r w:rsidR="0008525C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3744"/>
        <w:gridCol w:w="2268"/>
        <w:gridCol w:w="1701"/>
      </w:tblGrid>
      <w:tr w:rsidR="00C83A64" w:rsidRPr="0064462B" w:rsidTr="00CF5E77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4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</w:tr>
      <w:tr w:rsidR="00CF5E77" w:rsidRPr="0064462B" w:rsidTr="00CF5E77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CF5E77" w:rsidRPr="0064462B" w:rsidRDefault="00CF5E77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3744" w:type="dxa"/>
          </w:tcPr>
          <w:p w:rsidR="00CF5E77" w:rsidRPr="0064462B" w:rsidRDefault="00CF5E77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CF5E77" w:rsidRPr="00CF5E77" w:rsidRDefault="0008525C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701" w:type="dxa"/>
            <w:vAlign w:val="center"/>
          </w:tcPr>
          <w:p w:rsidR="00CF5E77" w:rsidRPr="00CF5E77" w:rsidRDefault="0008525C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- 757,7</w:t>
            </w:r>
          </w:p>
        </w:tc>
      </w:tr>
      <w:tr w:rsidR="00CF5E77" w:rsidRPr="0064462B" w:rsidTr="00CF5E77">
        <w:trPr>
          <w:trHeight w:val="1420"/>
        </w:trPr>
        <w:tc>
          <w:tcPr>
            <w:cnfStyle w:val="001000000000"/>
            <w:tcW w:w="3168" w:type="dxa"/>
          </w:tcPr>
          <w:p w:rsidR="00CF5E77" w:rsidRPr="0064462B" w:rsidRDefault="00CF5E77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3744" w:type="dxa"/>
          </w:tcPr>
          <w:p w:rsidR="00CF5E77" w:rsidRPr="0064462B" w:rsidRDefault="00CF5E77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268" w:type="dxa"/>
            <w:vAlign w:val="center"/>
          </w:tcPr>
          <w:p w:rsidR="00CF5E77" w:rsidRPr="00CF5E77" w:rsidRDefault="00CF5E77" w:rsidP="0008525C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F5E77">
              <w:rPr>
                <w:color w:val="000000"/>
                <w:sz w:val="24"/>
                <w:szCs w:val="24"/>
              </w:rPr>
              <w:t xml:space="preserve">-    </w:t>
            </w:r>
            <w:r w:rsidR="0008525C">
              <w:rPr>
                <w:color w:val="000000"/>
                <w:sz w:val="24"/>
                <w:szCs w:val="24"/>
              </w:rPr>
              <w:t>12 592,7</w:t>
            </w:r>
          </w:p>
        </w:tc>
        <w:tc>
          <w:tcPr>
            <w:tcW w:w="1701" w:type="dxa"/>
            <w:vAlign w:val="center"/>
          </w:tcPr>
          <w:p w:rsidR="00CF5E77" w:rsidRPr="00CF5E77" w:rsidRDefault="0008525C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11 930,5</w:t>
            </w:r>
          </w:p>
        </w:tc>
      </w:tr>
      <w:tr w:rsidR="00CF5E77" w:rsidRPr="0064462B" w:rsidTr="00CF5E77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CF5E77" w:rsidRPr="0064462B" w:rsidRDefault="00CF5E77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3744" w:type="dxa"/>
          </w:tcPr>
          <w:p w:rsidR="00CF5E77" w:rsidRPr="0064462B" w:rsidRDefault="00CF5E77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268" w:type="dxa"/>
            <w:vAlign w:val="center"/>
          </w:tcPr>
          <w:p w:rsidR="00CF5E77" w:rsidRPr="00CF5E77" w:rsidRDefault="0008525C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12 730,5</w:t>
            </w:r>
          </w:p>
        </w:tc>
        <w:tc>
          <w:tcPr>
            <w:tcW w:w="1701" w:type="dxa"/>
            <w:vAlign w:val="center"/>
          </w:tcPr>
          <w:p w:rsidR="00CF5E77" w:rsidRPr="00CF5E77" w:rsidRDefault="0008525C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11 172,8</w:t>
            </w:r>
          </w:p>
        </w:tc>
      </w:tr>
      <w:tr w:rsidR="00CF5E77" w:rsidRPr="0064462B" w:rsidTr="00CF5E77">
        <w:trPr>
          <w:trHeight w:val="482"/>
        </w:trPr>
        <w:tc>
          <w:tcPr>
            <w:cnfStyle w:val="001000000000"/>
            <w:tcW w:w="3168" w:type="dxa"/>
          </w:tcPr>
          <w:p w:rsidR="00CF5E77" w:rsidRPr="0064462B" w:rsidRDefault="00CF5E77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3744" w:type="dxa"/>
          </w:tcPr>
          <w:p w:rsidR="00CF5E77" w:rsidRPr="0064462B" w:rsidRDefault="00CF5E77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5E77" w:rsidRPr="00CF5E77" w:rsidRDefault="0008525C" w:rsidP="002F494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701" w:type="dxa"/>
            <w:vAlign w:val="center"/>
          </w:tcPr>
          <w:p w:rsidR="00CF5E77" w:rsidRPr="00CF5E77" w:rsidRDefault="00CF5E77" w:rsidP="002F494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CF5E77">
              <w:rPr>
                <w:b/>
                <w:color w:val="000000"/>
                <w:sz w:val="24"/>
                <w:szCs w:val="24"/>
              </w:rPr>
              <w:t>-</w:t>
            </w:r>
            <w:r w:rsidR="0008525C">
              <w:rPr>
                <w:b/>
                <w:color w:val="000000"/>
                <w:sz w:val="24"/>
                <w:szCs w:val="24"/>
              </w:rPr>
              <w:t xml:space="preserve"> 757,7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201</w:t>
      </w:r>
      <w:r w:rsidR="0008525C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613"/>
        <w:gridCol w:w="142"/>
        <w:gridCol w:w="1559"/>
        <w:gridCol w:w="1334"/>
        <w:gridCol w:w="84"/>
        <w:gridCol w:w="1250"/>
      </w:tblGrid>
      <w:tr w:rsidR="007D7249" w:rsidRPr="0064462B" w:rsidTr="003F797C">
        <w:trPr>
          <w:cnfStyle w:val="100000000000"/>
          <w:trHeight w:val="1058"/>
        </w:trPr>
        <w:tc>
          <w:tcPr>
            <w:cnfStyle w:val="001000000000"/>
            <w:tcW w:w="10856" w:type="dxa"/>
            <w:gridSpan w:val="7"/>
            <w:hideMark/>
          </w:tcPr>
          <w:p w:rsidR="007D7249" w:rsidRDefault="007D7249" w:rsidP="007D7249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7D7249" w:rsidRPr="0064462B" w:rsidRDefault="007D7249" w:rsidP="007D7249">
            <w:pPr>
              <w:jc w:val="center"/>
              <w:rPr>
                <w:i/>
                <w:sz w:val="24"/>
                <w:szCs w:val="24"/>
              </w:rPr>
            </w:pPr>
            <w:r w:rsidRPr="00AC4D3A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AC4D3A">
              <w:rPr>
                <w:i/>
                <w:color w:val="FFFFFF"/>
                <w:sz w:val="24"/>
                <w:szCs w:val="24"/>
              </w:rPr>
              <w:t>Старожуковского</w:t>
            </w:r>
            <w:proofErr w:type="spellEnd"/>
            <w:r w:rsidRPr="00AC4D3A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C4D3A">
              <w:rPr>
                <w:i/>
                <w:color w:val="FFFFFF"/>
                <w:sz w:val="24"/>
                <w:szCs w:val="24"/>
              </w:rPr>
              <w:t>Базарно-Карабулаского</w:t>
            </w:r>
            <w:proofErr w:type="spellEnd"/>
            <w:r w:rsidRPr="00AC4D3A">
              <w:rPr>
                <w:i/>
                <w:color w:val="FFFFFF"/>
                <w:sz w:val="24"/>
                <w:szCs w:val="24"/>
              </w:rPr>
              <w:t xml:space="preserve"> муни</w:t>
            </w:r>
            <w:r>
              <w:rPr>
                <w:i/>
                <w:color w:val="FFFFFF"/>
                <w:sz w:val="24"/>
                <w:szCs w:val="24"/>
              </w:rPr>
              <w:t>ципального района</w:t>
            </w:r>
            <w:r w:rsidRPr="00AC4D3A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F797C" w:rsidRPr="0064462B" w:rsidTr="003F797C">
        <w:trPr>
          <w:cnfStyle w:val="000000100000"/>
          <w:trHeight w:val="934"/>
        </w:trPr>
        <w:tc>
          <w:tcPr>
            <w:cnfStyle w:val="001000000000"/>
            <w:tcW w:w="8188" w:type="dxa"/>
            <w:gridSpan w:val="4"/>
            <w:shd w:val="clear" w:color="auto" w:fill="8DB3E2" w:themeFill="text2" w:themeFillTint="66"/>
            <w:hideMark/>
          </w:tcPr>
          <w:p w:rsidR="003F797C" w:rsidRDefault="003F797C" w:rsidP="003F797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3F797C" w:rsidRPr="00D02A94" w:rsidRDefault="003F797C" w:rsidP="003F797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3F797C" w:rsidRDefault="003F797C" w:rsidP="007D7249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668" w:type="dxa"/>
            <w:gridSpan w:val="3"/>
            <w:shd w:val="clear" w:color="auto" w:fill="8DB3E2" w:themeFill="text2" w:themeFillTint="66"/>
          </w:tcPr>
          <w:p w:rsidR="003F797C" w:rsidRDefault="003F797C" w:rsidP="003F797C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3F797C" w:rsidRDefault="003F797C" w:rsidP="003F797C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F797C" w:rsidRPr="003F797C" w:rsidRDefault="003F797C" w:rsidP="003F797C">
            <w:pPr>
              <w:jc w:val="center"/>
              <w:cnfStyle w:val="0000001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3F797C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3F797C" w:rsidRPr="0064462B" w:rsidTr="003F797C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797C" w:rsidRPr="00D02A94" w:rsidRDefault="003F797C" w:rsidP="00780E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F797C" w:rsidRPr="00DC086B" w:rsidRDefault="003F797C" w:rsidP="00780E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3F797C" w:rsidRPr="007B552D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3F797C" w:rsidRPr="0064462B" w:rsidTr="003F797C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797C" w:rsidRDefault="003F797C" w:rsidP="00780EFC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3F797C" w:rsidRPr="007D7E69" w:rsidRDefault="003F797C" w:rsidP="003F797C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2D4D93"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 w:rsidRPr="002D4D93">
              <w:rPr>
                <w:b w:val="0"/>
                <w:i/>
                <w:color w:val="000000"/>
                <w:sz w:val="24"/>
                <w:szCs w:val="24"/>
              </w:rPr>
              <w:t>Старожуковского</w:t>
            </w:r>
            <w:proofErr w:type="spellEnd"/>
            <w:r w:rsidRPr="002D4D93">
              <w:rPr>
                <w:b w:val="0"/>
                <w:i/>
                <w:color w:val="000000"/>
                <w:sz w:val="24"/>
                <w:szCs w:val="24"/>
              </w:rPr>
              <w:t xml:space="preserve">  муниципального образования,</w:t>
            </w:r>
            <w:r w:rsidR="002760D0" w:rsidRPr="002D4D93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2760D0" w:rsidRDefault="002760D0" w:rsidP="00FE3A3E">
            <w:pPr>
              <w:jc w:val="center"/>
              <w:cnfStyle w:val="000000100000"/>
              <w:rPr>
                <w:i/>
              </w:rPr>
            </w:pPr>
          </w:p>
          <w:p w:rsidR="002760D0" w:rsidRPr="0028230A" w:rsidRDefault="00613A26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726,4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2760D0" w:rsidRDefault="002760D0" w:rsidP="00FE3A3E">
            <w:pPr>
              <w:jc w:val="center"/>
              <w:cnfStyle w:val="000000100000"/>
              <w:rPr>
                <w:i/>
              </w:rPr>
            </w:pPr>
          </w:p>
          <w:p w:rsidR="002760D0" w:rsidRPr="0028230A" w:rsidRDefault="00613A26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726,4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3F797C" w:rsidRPr="0028230A" w:rsidRDefault="003F797C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603,1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3F797C" w:rsidRPr="0028230A" w:rsidRDefault="003F797C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603,1</w:t>
            </w:r>
          </w:p>
        </w:tc>
      </w:tr>
      <w:tr w:rsidR="003F797C" w:rsidRPr="0064462B" w:rsidTr="003F797C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797C" w:rsidRDefault="003F797C" w:rsidP="003F797C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Старожуковского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муниципального образования,</w:t>
            </w:r>
            <w:r w:rsidR="002760D0">
              <w:rPr>
                <w:b w:val="0"/>
                <w:i/>
                <w:color w:val="000000"/>
              </w:rPr>
              <w:t xml:space="preserve"> </w:t>
            </w:r>
            <w:proofErr w:type="gramStart"/>
            <w:r w:rsidR="002760D0">
              <w:rPr>
                <w:b w:val="0"/>
                <w:i/>
                <w:color w:val="000000"/>
              </w:rPr>
              <w:t>км</w:t>
            </w:r>
            <w:proofErr w:type="gramEnd"/>
            <w:r w:rsidR="002760D0">
              <w:rPr>
                <w:b w:val="0"/>
                <w:i/>
                <w:color w:val="000000"/>
              </w:rPr>
              <w:t>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2760D0" w:rsidRDefault="002760D0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33,5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2760D0" w:rsidRDefault="002760D0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33,5</w:t>
            </w:r>
          </w:p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Pr="0028230A" w:rsidRDefault="003F797C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765,7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Pr="0028230A" w:rsidRDefault="003F797C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765,7</w:t>
            </w:r>
          </w:p>
        </w:tc>
      </w:tr>
      <w:tr w:rsidR="003F797C" w:rsidRPr="0064462B" w:rsidTr="003F797C">
        <w:trPr>
          <w:cnfStyle w:val="000000100000"/>
          <w:trHeight w:val="1150"/>
        </w:trPr>
        <w:tc>
          <w:tcPr>
            <w:cnfStyle w:val="001000000000"/>
            <w:tcW w:w="10856" w:type="dxa"/>
            <w:gridSpan w:val="7"/>
            <w:hideMark/>
          </w:tcPr>
          <w:p w:rsidR="003F797C" w:rsidRDefault="003F797C" w:rsidP="007D7249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3F797C" w:rsidRPr="0064462B" w:rsidRDefault="003F797C" w:rsidP="007D724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F5E77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CF5E77">
              <w:rPr>
                <w:i/>
                <w:color w:val="FFFFFF"/>
                <w:sz w:val="24"/>
                <w:szCs w:val="24"/>
              </w:rPr>
              <w:t>Старожуковского</w:t>
            </w:r>
            <w:proofErr w:type="spellEnd"/>
            <w:r w:rsidRPr="00CF5E77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F5E77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CF5E77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CF5E77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F797C" w:rsidRPr="0064462B" w:rsidTr="003F797C">
        <w:trPr>
          <w:trHeight w:val="973"/>
        </w:trPr>
        <w:tc>
          <w:tcPr>
            <w:cnfStyle w:val="001000000000"/>
            <w:tcW w:w="8188" w:type="dxa"/>
            <w:gridSpan w:val="4"/>
            <w:shd w:val="clear" w:color="auto" w:fill="8DB3E2" w:themeFill="text2" w:themeFillTint="66"/>
            <w:hideMark/>
          </w:tcPr>
          <w:p w:rsidR="003F797C" w:rsidRDefault="003F797C" w:rsidP="00780E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3F797C" w:rsidRPr="00D02A94" w:rsidRDefault="003F797C" w:rsidP="00780E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3F797C" w:rsidRDefault="003F797C" w:rsidP="00780EFC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668" w:type="dxa"/>
            <w:gridSpan w:val="3"/>
            <w:shd w:val="clear" w:color="auto" w:fill="8DB3E2" w:themeFill="text2" w:themeFillTint="66"/>
          </w:tcPr>
          <w:p w:rsidR="003F797C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3F797C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F797C" w:rsidRPr="003F797C" w:rsidRDefault="003F797C" w:rsidP="00780EFC">
            <w:pPr>
              <w:jc w:val="center"/>
              <w:cnfStyle w:val="0000000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3F797C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3F797C" w:rsidRPr="0064462B" w:rsidTr="003F797C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797C" w:rsidRPr="00D02A94" w:rsidRDefault="003F797C" w:rsidP="00780E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F797C" w:rsidRPr="00DC086B" w:rsidRDefault="003F797C" w:rsidP="00780E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334" w:type="dxa"/>
            <w:shd w:val="clear" w:color="auto" w:fill="DBE5F1" w:themeFill="accent1" w:themeFillTint="33"/>
            <w:hideMark/>
          </w:tcPr>
          <w:p w:rsidR="003F797C" w:rsidRPr="007B552D" w:rsidRDefault="003F797C" w:rsidP="00780EF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334" w:type="dxa"/>
            <w:gridSpan w:val="2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3F797C" w:rsidRPr="0064462B" w:rsidTr="003F797C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797C" w:rsidRDefault="003F797C" w:rsidP="003F797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b w:val="0"/>
                <w:i/>
                <w:color w:val="000000"/>
                <w:sz w:val="24"/>
                <w:szCs w:val="24"/>
              </w:rPr>
              <w:t>уровня оснащенности территорий населенных пунктов муниципального образования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</w:rPr>
              <w:t>. Разбивка цветников. Восстановление и обновление:</w:t>
            </w:r>
          </w:p>
          <w:p w:rsidR="003F797C" w:rsidRDefault="003F797C" w:rsidP="003F797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 асфальтового покрытия проездов и тротуаров;</w:t>
            </w:r>
          </w:p>
          <w:p w:rsidR="003F797C" w:rsidRDefault="003F797C" w:rsidP="003F797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-ограничение кладбищ;</w:t>
            </w:r>
          </w:p>
          <w:p w:rsidR="003F797C" w:rsidRDefault="003F797C" w:rsidP="003F797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-мемориалов и памятников;</w:t>
            </w:r>
          </w:p>
          <w:p w:rsidR="003F797C" w:rsidRDefault="003F797C" w:rsidP="003F797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-благоустройство родников;</w:t>
            </w:r>
          </w:p>
          <w:p w:rsidR="003F797C" w:rsidRPr="007D7249" w:rsidRDefault="003F797C" w:rsidP="003F797C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-озеленение территорий населенных пунктов муниципального образования, %</w:t>
            </w:r>
          </w:p>
        </w:tc>
        <w:tc>
          <w:tcPr>
            <w:tcW w:w="1755" w:type="dxa"/>
            <w:gridSpan w:val="2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Pr="0028230A" w:rsidRDefault="003F797C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Pr="0028230A" w:rsidRDefault="003F797C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334" w:type="dxa"/>
            <w:shd w:val="clear" w:color="auto" w:fill="DBE5F1" w:themeFill="accent1" w:themeFillTint="33"/>
            <w:hideMark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Pr="0028230A" w:rsidRDefault="003F797C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376,2</w:t>
            </w:r>
          </w:p>
        </w:tc>
        <w:tc>
          <w:tcPr>
            <w:tcW w:w="1334" w:type="dxa"/>
            <w:gridSpan w:val="2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Pr="0028230A" w:rsidRDefault="003F797C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249,0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AC4D3A" w:rsidRDefault="00AC4D3A" w:rsidP="00FE3A3E"/>
    <w:p w:rsidR="007D7249" w:rsidRDefault="007D7249" w:rsidP="00FE3A3E"/>
    <w:p w:rsidR="007D7249" w:rsidRDefault="007D7249" w:rsidP="00FE3A3E"/>
    <w:p w:rsidR="007D7249" w:rsidRDefault="007D7249" w:rsidP="00FE3A3E"/>
    <w:p w:rsidR="007D7249" w:rsidRDefault="007D7249" w:rsidP="00FE3A3E"/>
    <w:p w:rsidR="00AC4D3A" w:rsidRDefault="00AC4D3A" w:rsidP="00FE3A3E"/>
    <w:p w:rsidR="00AC4D3A" w:rsidRDefault="00AC4D3A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р.п. Базарный Карабулак, ул. Ленина, 126 в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04B7C"/>
    <w:rsid w:val="00014CE2"/>
    <w:rsid w:val="00016AFD"/>
    <w:rsid w:val="00032ACA"/>
    <w:rsid w:val="0004351D"/>
    <w:rsid w:val="00044A6E"/>
    <w:rsid w:val="00056307"/>
    <w:rsid w:val="00072092"/>
    <w:rsid w:val="000721A5"/>
    <w:rsid w:val="00076CCD"/>
    <w:rsid w:val="00077927"/>
    <w:rsid w:val="00081341"/>
    <w:rsid w:val="0008525C"/>
    <w:rsid w:val="000854F6"/>
    <w:rsid w:val="000A1E86"/>
    <w:rsid w:val="000A2515"/>
    <w:rsid w:val="000C3D2E"/>
    <w:rsid w:val="000F2212"/>
    <w:rsid w:val="000F336E"/>
    <w:rsid w:val="00102C3B"/>
    <w:rsid w:val="001174E7"/>
    <w:rsid w:val="0011767D"/>
    <w:rsid w:val="001453AE"/>
    <w:rsid w:val="0016164F"/>
    <w:rsid w:val="001739A2"/>
    <w:rsid w:val="00183C72"/>
    <w:rsid w:val="00187BF5"/>
    <w:rsid w:val="001B5383"/>
    <w:rsid w:val="001C1EE3"/>
    <w:rsid w:val="001C5E40"/>
    <w:rsid w:val="001D2034"/>
    <w:rsid w:val="001E3CC1"/>
    <w:rsid w:val="001F044D"/>
    <w:rsid w:val="00212752"/>
    <w:rsid w:val="00237CDD"/>
    <w:rsid w:val="002424E7"/>
    <w:rsid w:val="0026465C"/>
    <w:rsid w:val="002704CA"/>
    <w:rsid w:val="00270BF8"/>
    <w:rsid w:val="002760D0"/>
    <w:rsid w:val="0028230A"/>
    <w:rsid w:val="002D4D93"/>
    <w:rsid w:val="002F4947"/>
    <w:rsid w:val="0031743D"/>
    <w:rsid w:val="00350A4F"/>
    <w:rsid w:val="003522FB"/>
    <w:rsid w:val="0035571E"/>
    <w:rsid w:val="00366682"/>
    <w:rsid w:val="00366B52"/>
    <w:rsid w:val="00392ADD"/>
    <w:rsid w:val="00394390"/>
    <w:rsid w:val="0039521B"/>
    <w:rsid w:val="003B1F50"/>
    <w:rsid w:val="003C666A"/>
    <w:rsid w:val="003F797C"/>
    <w:rsid w:val="0044380E"/>
    <w:rsid w:val="00444869"/>
    <w:rsid w:val="00446D97"/>
    <w:rsid w:val="00450B6D"/>
    <w:rsid w:val="00462D2A"/>
    <w:rsid w:val="00463D2F"/>
    <w:rsid w:val="00491546"/>
    <w:rsid w:val="00495090"/>
    <w:rsid w:val="004B23CD"/>
    <w:rsid w:val="004B3FFC"/>
    <w:rsid w:val="004D7CAC"/>
    <w:rsid w:val="004F5CA7"/>
    <w:rsid w:val="004F5FD8"/>
    <w:rsid w:val="004F76E1"/>
    <w:rsid w:val="00523042"/>
    <w:rsid w:val="00533C49"/>
    <w:rsid w:val="0053472A"/>
    <w:rsid w:val="00554065"/>
    <w:rsid w:val="0056062E"/>
    <w:rsid w:val="00562323"/>
    <w:rsid w:val="005737D1"/>
    <w:rsid w:val="0058747C"/>
    <w:rsid w:val="00597F89"/>
    <w:rsid w:val="005B3536"/>
    <w:rsid w:val="005B4B3D"/>
    <w:rsid w:val="005E02E1"/>
    <w:rsid w:val="005F263F"/>
    <w:rsid w:val="005F3320"/>
    <w:rsid w:val="00600C34"/>
    <w:rsid w:val="00613A26"/>
    <w:rsid w:val="00623AEB"/>
    <w:rsid w:val="00625EB2"/>
    <w:rsid w:val="006272E3"/>
    <w:rsid w:val="00632353"/>
    <w:rsid w:val="00642EDF"/>
    <w:rsid w:val="0064462B"/>
    <w:rsid w:val="00675853"/>
    <w:rsid w:val="00677B5C"/>
    <w:rsid w:val="006A1E07"/>
    <w:rsid w:val="006A3376"/>
    <w:rsid w:val="006A63A5"/>
    <w:rsid w:val="006C4283"/>
    <w:rsid w:val="006E539B"/>
    <w:rsid w:val="006F4814"/>
    <w:rsid w:val="00746CD1"/>
    <w:rsid w:val="007545F6"/>
    <w:rsid w:val="00763E72"/>
    <w:rsid w:val="00775836"/>
    <w:rsid w:val="00780EFC"/>
    <w:rsid w:val="007A18FF"/>
    <w:rsid w:val="007D5787"/>
    <w:rsid w:val="007D7249"/>
    <w:rsid w:val="008077E8"/>
    <w:rsid w:val="00811124"/>
    <w:rsid w:val="00824E76"/>
    <w:rsid w:val="008450D9"/>
    <w:rsid w:val="00865421"/>
    <w:rsid w:val="008861E2"/>
    <w:rsid w:val="00893506"/>
    <w:rsid w:val="008A49C4"/>
    <w:rsid w:val="008C13C2"/>
    <w:rsid w:val="008C1EB8"/>
    <w:rsid w:val="008C66D3"/>
    <w:rsid w:val="008D5195"/>
    <w:rsid w:val="00900E3F"/>
    <w:rsid w:val="0092343C"/>
    <w:rsid w:val="009258AB"/>
    <w:rsid w:val="00946619"/>
    <w:rsid w:val="0095380B"/>
    <w:rsid w:val="00965FF2"/>
    <w:rsid w:val="009671E3"/>
    <w:rsid w:val="00974AB2"/>
    <w:rsid w:val="009803AC"/>
    <w:rsid w:val="009A3AA6"/>
    <w:rsid w:val="009F6FE2"/>
    <w:rsid w:val="00A1436E"/>
    <w:rsid w:val="00A454C4"/>
    <w:rsid w:val="00A56764"/>
    <w:rsid w:val="00A639D1"/>
    <w:rsid w:val="00A647D1"/>
    <w:rsid w:val="00A70173"/>
    <w:rsid w:val="00A727D0"/>
    <w:rsid w:val="00A72CAF"/>
    <w:rsid w:val="00A76A20"/>
    <w:rsid w:val="00A82343"/>
    <w:rsid w:val="00A933AB"/>
    <w:rsid w:val="00AC4D3A"/>
    <w:rsid w:val="00AC59A3"/>
    <w:rsid w:val="00AE072A"/>
    <w:rsid w:val="00AE2243"/>
    <w:rsid w:val="00B41AE4"/>
    <w:rsid w:val="00B56678"/>
    <w:rsid w:val="00B616DC"/>
    <w:rsid w:val="00B94859"/>
    <w:rsid w:val="00BA4F10"/>
    <w:rsid w:val="00C03DFD"/>
    <w:rsid w:val="00C36E86"/>
    <w:rsid w:val="00C42B58"/>
    <w:rsid w:val="00C50819"/>
    <w:rsid w:val="00C73887"/>
    <w:rsid w:val="00C76DFD"/>
    <w:rsid w:val="00C82C53"/>
    <w:rsid w:val="00C83A64"/>
    <w:rsid w:val="00CA68B5"/>
    <w:rsid w:val="00CD7967"/>
    <w:rsid w:val="00CD7B13"/>
    <w:rsid w:val="00CE5B5F"/>
    <w:rsid w:val="00CF2D86"/>
    <w:rsid w:val="00CF5E77"/>
    <w:rsid w:val="00D26306"/>
    <w:rsid w:val="00D274D3"/>
    <w:rsid w:val="00D3557C"/>
    <w:rsid w:val="00D372E6"/>
    <w:rsid w:val="00D53865"/>
    <w:rsid w:val="00D62B3E"/>
    <w:rsid w:val="00D902A3"/>
    <w:rsid w:val="00D97A89"/>
    <w:rsid w:val="00DE2B26"/>
    <w:rsid w:val="00E0448B"/>
    <w:rsid w:val="00E120B5"/>
    <w:rsid w:val="00E13FD3"/>
    <w:rsid w:val="00E422F7"/>
    <w:rsid w:val="00E52391"/>
    <w:rsid w:val="00E854EA"/>
    <w:rsid w:val="00EA08D6"/>
    <w:rsid w:val="00EA77ED"/>
    <w:rsid w:val="00EB311B"/>
    <w:rsid w:val="00EB36F6"/>
    <w:rsid w:val="00ED718B"/>
    <w:rsid w:val="00F0337A"/>
    <w:rsid w:val="00F11144"/>
    <w:rsid w:val="00F30864"/>
    <w:rsid w:val="00F408B7"/>
    <w:rsid w:val="00F44226"/>
    <w:rsid w:val="00F63FDC"/>
    <w:rsid w:val="00F672AB"/>
    <w:rsid w:val="00F71522"/>
    <w:rsid w:val="00F7287D"/>
    <w:rsid w:val="00FA49B2"/>
    <w:rsid w:val="00FB1727"/>
    <w:rsid w:val="00FB2543"/>
    <w:rsid w:val="00FC5D85"/>
    <w:rsid w:val="00FD1B3E"/>
    <w:rsid w:val="00FE051D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71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19796"/>
          <c:h val="0.875000404685103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6861537559201823E-2"/>
                  <c:y val="6.7432950191571167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441311456180052E-2"/>
                  <c:y val="5.203252032520367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4620888869338392E-2"/>
                  <c:y val="4.570411625376099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721550169357359E-5"/>
                  <c:y val="-7.786723001088309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3957242774821538E-3"/>
                  <c:y val="-7.094321746367070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2809425358143439E-2"/>
                  <c:y val="-5.931835349849583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903517646886346E-2"/>
                  <c:y val="-2.798591639459711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Прочие доходы от использования имущества</c:v>
                </c:pt>
                <c:pt idx="6">
                  <c:v>Дотация </c:v>
                </c:pt>
                <c:pt idx="7">
                  <c:v>Субсидия</c:v>
                </c:pt>
                <c:pt idx="8">
                  <c:v>Субвенция</c:v>
                </c:pt>
                <c:pt idx="9">
                  <c:v>Прочие доходы </c:v>
                </c:pt>
                <c:pt idx="10">
                  <c:v>Иные межбюджетные трансферты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660.8</c:v>
                </c:pt>
                <c:pt idx="1">
                  <c:v>285.39999999999969</c:v>
                </c:pt>
                <c:pt idx="2">
                  <c:v>201.8</c:v>
                </c:pt>
                <c:pt idx="3">
                  <c:v>2700</c:v>
                </c:pt>
                <c:pt idx="4">
                  <c:v>1.4</c:v>
                </c:pt>
                <c:pt idx="5">
                  <c:v>12.6</c:v>
                </c:pt>
                <c:pt idx="6">
                  <c:v>99.9</c:v>
                </c:pt>
                <c:pt idx="7">
                  <c:v>916</c:v>
                </c:pt>
                <c:pt idx="8">
                  <c:v>207.3</c:v>
                </c:pt>
                <c:pt idx="9">
                  <c:v>74</c:v>
                </c:pt>
                <c:pt idx="10">
                  <c:v>6566.2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227"/>
          <c:y val="1.599801126180822E-2"/>
          <c:w val="0.32868619774483993"/>
          <c:h val="0.984002048524422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91E-2"/>
          <c:w val="0.55481869235619796"/>
          <c:h val="0.875000404685103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5.0496048329154386E-2"/>
                  <c:y val="-2.94702055181033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3888180178594996E-3"/>
                  <c:y val="-6.742087417917541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7008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  <c:pt idx="5">
                  <c:v>Нацианальная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#,##0.00">
                  <c:v>4590.6000000000004</c:v>
                </c:pt>
                <c:pt idx="1">
                  <c:v>207.3</c:v>
                </c:pt>
                <c:pt idx="2" formatCode="#,##0.00">
                  <c:v>1098.2</c:v>
                </c:pt>
                <c:pt idx="3">
                  <c:v>69.2</c:v>
                </c:pt>
                <c:pt idx="4" formatCode="#,##0.00">
                  <c:v>2719</c:v>
                </c:pt>
                <c:pt idx="5" formatCode="#,##0.00">
                  <c:v>1100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227"/>
          <c:y val="1.5998011261808141E-2"/>
          <c:w val="0.32868619774483993"/>
          <c:h val="0.9356252384751537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433FF-7035-4E1E-AA41-7AB2D398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8393</TotalTime>
  <Pages>7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93</cp:revision>
  <cp:lastPrinted>2020-05-29T10:04:00Z</cp:lastPrinted>
  <dcterms:created xsi:type="dcterms:W3CDTF">2016-06-01T06:59:00Z</dcterms:created>
  <dcterms:modified xsi:type="dcterms:W3CDTF">2020-05-28T06:15:00Z</dcterms:modified>
</cp:coreProperties>
</file>