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76D2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0376D2" w:rsidP="009D13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Прорыв водяной трассы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164A17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обратилась за помощью  в ООО «Феникс», </w:t>
      </w:r>
      <w:r w:rsidR="000376D2">
        <w:rPr>
          <w:rFonts w:ascii="Times New Roman" w:hAnsi="Times New Roman" w:cs="Times New Roman"/>
          <w:sz w:val="28"/>
          <w:szCs w:val="28"/>
        </w:rPr>
        <w:t>которые устранили утечку воды, провели замену трубы</w:t>
      </w:r>
      <w:r>
        <w:rPr>
          <w:rFonts w:ascii="Times New Roman" w:hAnsi="Times New Roman" w:cs="Times New Roman"/>
          <w:sz w:val="28"/>
          <w:szCs w:val="28"/>
        </w:rPr>
        <w:t xml:space="preserve">. Водоснабжение возобновлено.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76D2"/>
    <w:rsid w:val="00090949"/>
    <w:rsid w:val="00164A17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305DD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2020-11-20T06:07:00Z</dcterms:created>
  <dcterms:modified xsi:type="dcterms:W3CDTF">2020-11-20T06:07:00Z</dcterms:modified>
</cp:coreProperties>
</file>