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D35F7D" w:rsidRPr="00D35F7D">
        <w:rPr>
          <w:noProof/>
          <w:sz w:val="28"/>
          <w:szCs w:val="28"/>
          <w:lang w:eastAsia="ru-RU"/>
        </w:rPr>
      </w:r>
      <w:r w:rsidR="00D35F7D" w:rsidRPr="00D35F7D">
        <w:rPr>
          <w:noProof/>
          <w:sz w:val="28"/>
          <w:szCs w:val="28"/>
          <w:lang w:eastAsia="ru-RU"/>
        </w:rPr>
        <w:pict>
          <v:roundrect id="AutoShape 14" o:spid="_x0000_s1037" style="width:752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5D2F55" w:rsidRPr="00663C24" w:rsidRDefault="005D2F55" w:rsidP="00343366">
                  <w:pPr>
                    <w:pStyle w:val="a4"/>
                    <w:jc w:val="center"/>
                    <w:rPr>
                      <w:b/>
                    </w:rPr>
                  </w:pPr>
                  <w:r w:rsidRPr="00663C24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663C24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5D2F55" w:rsidRPr="00343366" w:rsidRDefault="005D2F55" w:rsidP="00343366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663C24">
                    <w:rPr>
                      <w:b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663C24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663C24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5D2F55" w:rsidRPr="00343366" w:rsidRDefault="005D2F55" w:rsidP="00343366"/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343366" w:rsidRDefault="00343366" w:rsidP="00343366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343366" w:rsidRDefault="00343366" w:rsidP="00343366">
      <w:pPr>
        <w:pStyle w:val="a4"/>
        <w:ind w:firstLine="540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298,5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103,2</w:t>
      </w:r>
      <w:r>
        <w:rPr>
          <w:sz w:val="28"/>
        </w:rPr>
        <w:t xml:space="preserve">% уровня 2021 года, в 2023 году - </w:t>
      </w:r>
      <w:r>
        <w:rPr>
          <w:color w:val="000000"/>
          <w:sz w:val="28"/>
        </w:rPr>
        <w:t>324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108,5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330,6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102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 Оборот розничной торговли в 2022 году увеличится на 8,6% по сравнению с 2021 годом и составит </w:t>
      </w:r>
      <w:r>
        <w:rPr>
          <w:color w:val="000000"/>
          <w:sz w:val="28"/>
          <w:lang w:eastAsia="zh-CN"/>
        </w:rPr>
        <w:t>54,4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56,8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104,5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60,3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106,1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 Организациями общественного питания в 2022 году будет реализовано продукции на 1,6 млн. руб. или </w:t>
      </w:r>
      <w:r>
        <w:rPr>
          <w:color w:val="000000"/>
          <w:sz w:val="28"/>
          <w:lang w:eastAsia="zh-CN"/>
        </w:rPr>
        <w:t>102,5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1,7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106,2</w:t>
      </w:r>
      <w:r>
        <w:rPr>
          <w:sz w:val="28"/>
        </w:rPr>
        <w:t xml:space="preserve">% уровня 2022 года, в 2024 году-1,8 млн.руб. или </w:t>
      </w:r>
      <w:r>
        <w:rPr>
          <w:color w:val="000000"/>
          <w:sz w:val="28"/>
          <w:lang w:eastAsia="zh-CN"/>
        </w:rPr>
        <w:t>103,5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23 130,8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году- </w:t>
      </w:r>
      <w:r>
        <w:rPr>
          <w:color w:val="000000"/>
          <w:sz w:val="28"/>
          <w:lang w:eastAsia="zh-CN"/>
        </w:rPr>
        <w:t>24 829,8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26 698,3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</w:pPr>
      <w:r>
        <w:rPr>
          <w:sz w:val="28"/>
        </w:rPr>
        <w:t xml:space="preserve">          Валовой внутренний продукт в 2022 году составит </w:t>
      </w:r>
      <w:r>
        <w:rPr>
          <w:color w:val="000000"/>
          <w:sz w:val="28"/>
          <w:lang w:eastAsia="zh-CN"/>
        </w:rPr>
        <w:t>350,2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102,7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380,1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389,2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102,4</w:t>
      </w:r>
      <w:r>
        <w:rPr>
          <w:sz w:val="28"/>
        </w:rPr>
        <w:t>% уровня 2023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7A9E" w:rsidRPr="00707236">
        <w:rPr>
          <w:rFonts w:ascii="Times New Roman" w:hAnsi="Times New Roman"/>
          <w:sz w:val="28"/>
          <w:szCs w:val="28"/>
        </w:rPr>
        <w:t xml:space="preserve"> году </w:t>
      </w:r>
      <w:r w:rsidR="00707236" w:rsidRPr="00707236">
        <w:rPr>
          <w:rFonts w:ascii="Times New Roman" w:hAnsi="Times New Roman"/>
          <w:sz w:val="28"/>
          <w:szCs w:val="28"/>
        </w:rPr>
        <w:t>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</w:t>
      </w:r>
      <w:r w:rsidR="00EC6925" w:rsidRPr="00707236">
        <w:rPr>
          <w:rFonts w:ascii="Times New Roman" w:hAnsi="Times New Roman"/>
          <w:sz w:val="28"/>
          <w:szCs w:val="28"/>
        </w:rPr>
        <w:t>,</w:t>
      </w:r>
    </w:p>
    <w:p w:rsidR="00EC6925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926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  <w:r w:rsidR="00343366">
        <w:rPr>
          <w:rFonts w:ascii="Times New Roman" w:hAnsi="Times New Roman"/>
          <w:sz w:val="28"/>
          <w:szCs w:val="28"/>
        </w:rPr>
        <w:t>,</w:t>
      </w:r>
    </w:p>
    <w:p w:rsidR="00343366" w:rsidRPr="00707236" w:rsidRDefault="00343366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893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19050" t="0" r="110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343366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43366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</w:t>
            </w:r>
            <w:r w:rsidR="0034336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022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4 093,9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29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7FD9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5 481,2</w:t>
            </w:r>
          </w:p>
        </w:tc>
      </w:tr>
      <w:tr w:rsidR="00CC1D4E" w:rsidRPr="00FB4457" w:rsidTr="00CC1D4E">
        <w:trPr>
          <w:cnfStyle w:val="000000010000"/>
          <w:jc w:val="center"/>
        </w:trPr>
        <w:tc>
          <w:tcPr>
            <w:cnfStyle w:val="00100000000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4 081,6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7FD9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5 481,2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B445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D35F7D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AD700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9C0EF5" w:rsidRPr="00B24E8C" w:rsidRDefault="00D35F7D" w:rsidP="00B24E8C">
                  <w:r w:rsidRPr="00D35F7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552pt;height:45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7749">
        <w:rPr>
          <w:sz w:val="28"/>
          <w:szCs w:val="28"/>
        </w:rPr>
        <w:t>Бюджетная политика на 20</w:t>
      </w:r>
      <w:r w:rsidR="00343366">
        <w:rPr>
          <w:sz w:val="28"/>
          <w:szCs w:val="28"/>
        </w:rPr>
        <w:t>22</w:t>
      </w:r>
      <w:r w:rsidRPr="00C87749">
        <w:rPr>
          <w:sz w:val="28"/>
          <w:szCs w:val="28"/>
        </w:rPr>
        <w:t xml:space="preserve"> год сохраняет преемственность це</w:t>
      </w:r>
      <w:r w:rsidR="00343366">
        <w:rPr>
          <w:sz w:val="28"/>
          <w:szCs w:val="28"/>
        </w:rPr>
        <w:t>лей и задач, определенных в 2021</w:t>
      </w:r>
      <w:r w:rsidRPr="00C87749">
        <w:rPr>
          <w:sz w:val="28"/>
          <w:szCs w:val="28"/>
        </w:rPr>
        <w:t xml:space="preserve">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r w:rsidRPr="00FB4457">
        <w:rPr>
          <w:rFonts w:ascii="Times New Roman" w:hAnsi="Times New Roman"/>
          <w:i/>
        </w:rPr>
        <w:t>тыс</w:t>
      </w:r>
      <w:proofErr w:type="gramStart"/>
      <w:r w:rsidRPr="00FB4457">
        <w:rPr>
          <w:rFonts w:ascii="Times New Roman" w:hAnsi="Times New Roman"/>
          <w:i/>
        </w:rPr>
        <w:t>.р</w:t>
      </w:r>
      <w:proofErr w:type="gramEnd"/>
      <w:r w:rsidRPr="00FB4457">
        <w:rPr>
          <w:rFonts w:ascii="Times New Roman" w:hAnsi="Times New Roman"/>
          <w:i/>
        </w:rPr>
        <w:t>уб.</w:t>
      </w:r>
    </w:p>
    <w:tbl>
      <w:tblPr>
        <w:tblStyle w:val="1-11"/>
        <w:tblW w:w="15232" w:type="dxa"/>
        <w:tblLayout w:type="fixed"/>
        <w:tblLook w:val="04A0"/>
      </w:tblPr>
      <w:tblGrid>
        <w:gridCol w:w="817"/>
        <w:gridCol w:w="9736"/>
        <w:gridCol w:w="1560"/>
        <w:gridCol w:w="1418"/>
        <w:gridCol w:w="1701"/>
      </w:tblGrid>
      <w:tr w:rsidR="00CC29C4" w:rsidRPr="00FB4457" w:rsidTr="00CC29C4">
        <w:trPr>
          <w:cnfStyle w:val="1000000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29C4" w:rsidRPr="00CC1D4E" w:rsidRDefault="00CC29C4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</w:t>
            </w:r>
            <w:r w:rsidR="001D2206">
              <w:rPr>
                <w:i/>
                <w:sz w:val="24"/>
                <w:szCs w:val="24"/>
              </w:rPr>
              <w:t xml:space="preserve">20 </w:t>
            </w:r>
            <w:r w:rsidRPr="00CC1D4E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C29C4" w:rsidRPr="00CC1D4E" w:rsidRDefault="008D442E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</w:t>
            </w:r>
            <w:r w:rsidR="001D2206">
              <w:rPr>
                <w:i/>
                <w:sz w:val="24"/>
                <w:szCs w:val="24"/>
              </w:rPr>
              <w:t>1</w:t>
            </w:r>
            <w:r w:rsidR="00CC29C4"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29C4" w:rsidRPr="00CC1D4E" w:rsidRDefault="008D442E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Прогноз на 202</w:t>
            </w:r>
            <w:r w:rsidR="001D220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C29C4" w:rsidRPr="00CC1D4E">
              <w:rPr>
                <w:i/>
                <w:sz w:val="24"/>
                <w:szCs w:val="24"/>
              </w:rPr>
              <w:t>год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1 239,4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1 934,5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171,5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261,5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597,5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</w:tr>
      <w:tr w:rsidR="00CC29C4" w:rsidRPr="00FB4457" w:rsidTr="00CC29C4">
        <w:trPr>
          <w:cnfStyle w:val="000000100000"/>
          <w:trHeight w:val="447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961,7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1 010,0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981,0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  <w:trHeight w:val="523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1 239,4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1 934,5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2 854,5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1 120,9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3 546,7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810,7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654,0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933,5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2 679,0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90,9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975,7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628,9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213,7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4 093,9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2 659,4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5 481,2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>5 481,2</w:t>
      </w:r>
      <w:r w:rsidRPr="00AD7000">
        <w:rPr>
          <w:rFonts w:ascii="Times New Roman" w:hAnsi="Times New Roman"/>
          <w:b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b/>
          <w:i/>
          <w:sz w:val="28"/>
          <w:szCs w:val="28"/>
        </w:rPr>
        <w:t>ублей</w:t>
      </w:r>
      <w:r w:rsidRPr="00AD7000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8D442E" w:rsidRPr="00AD7000">
        <w:rPr>
          <w:rFonts w:ascii="Times New Roman" w:hAnsi="Times New Roman"/>
          <w:b/>
          <w:i/>
          <w:sz w:val="28"/>
          <w:szCs w:val="28"/>
        </w:rPr>
        <w:t>1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 xml:space="preserve"> 934,5 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1D2206" w:rsidRPr="00AD7000">
        <w:rPr>
          <w:rFonts w:ascii="Times New Roman" w:hAnsi="Times New Roman"/>
          <w:i/>
          <w:sz w:val="28"/>
          <w:szCs w:val="28"/>
        </w:rPr>
        <w:t>а 2022</w:t>
      </w:r>
      <w:r w:rsidRPr="00AD7000">
        <w:rPr>
          <w:rFonts w:ascii="Times New Roman" w:hAnsi="Times New Roman"/>
          <w:i/>
          <w:sz w:val="28"/>
          <w:szCs w:val="28"/>
        </w:rPr>
        <w:t xml:space="preserve"> год (</w:t>
      </w:r>
      <w:r w:rsidR="001D2206" w:rsidRPr="00AD7000">
        <w:rPr>
          <w:rFonts w:ascii="Times New Roman" w:hAnsi="Times New Roman"/>
          <w:i/>
          <w:sz w:val="28"/>
          <w:szCs w:val="28"/>
        </w:rPr>
        <w:t>38 582,3</w:t>
      </w:r>
      <w:r w:rsidRPr="00AD7000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1D2206" w:rsidRPr="00AD7000">
        <w:rPr>
          <w:rFonts w:ascii="Times New Roman" w:hAnsi="Times New Roman"/>
          <w:i/>
          <w:sz w:val="28"/>
          <w:szCs w:val="28"/>
        </w:rPr>
        <w:t>9-2021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D2206" w:rsidRPr="00AD7000">
        <w:rPr>
          <w:rFonts w:ascii="Times New Roman" w:hAnsi="Times New Roman"/>
          <w:i/>
          <w:sz w:val="28"/>
          <w:szCs w:val="28"/>
        </w:rPr>
        <w:t>261,5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1D2206" w:rsidRPr="00AD7000">
        <w:rPr>
          <w:rFonts w:ascii="Times New Roman" w:hAnsi="Times New Roman"/>
          <w:i/>
          <w:sz w:val="28"/>
          <w:szCs w:val="28"/>
        </w:rPr>
        <w:t>1,5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18 «Об установлении налога на имущество физических лиц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образования». Поступление налога на имущество физических лиц запланировано в сумме </w:t>
      </w:r>
      <w:r w:rsidR="001D2206" w:rsidRPr="00AD7000">
        <w:rPr>
          <w:rFonts w:ascii="Times New Roman" w:hAnsi="Times New Roman"/>
          <w:i/>
          <w:sz w:val="28"/>
          <w:szCs w:val="28"/>
        </w:rPr>
        <w:t>93,0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</w:t>
      </w:r>
      <w:r w:rsidRPr="00AD7000">
        <w:rPr>
          <w:rFonts w:ascii="Times New Roman" w:hAnsi="Times New Roman"/>
          <w:i/>
          <w:sz w:val="28"/>
          <w:szCs w:val="28"/>
        </w:rPr>
        <w:lastRenderedPageBreak/>
        <w:t xml:space="preserve">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Старобурасскогомуниципального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образования» от 15.10.2010 года № 21, Решения «О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="001D2206" w:rsidRPr="00AD7000">
        <w:rPr>
          <w:rFonts w:ascii="Times New Roman" w:hAnsi="Times New Roman"/>
          <w:i/>
          <w:sz w:val="28"/>
          <w:szCs w:val="28"/>
        </w:rPr>
        <w:t>981,0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</w:t>
      </w:r>
    </w:p>
    <w:p w:rsidR="001D2206" w:rsidRPr="00AD7000" w:rsidRDefault="001D2206" w:rsidP="001D2206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запланировано в сумме -597,5  тыс. рублей.</w:t>
      </w:r>
    </w:p>
    <w:p w:rsidR="001D2206" w:rsidRPr="00AD7000" w:rsidRDefault="001D2206" w:rsidP="00CC29C4">
      <w:pPr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>3 546,7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D2206" w:rsidRPr="00AD7000">
        <w:rPr>
          <w:rFonts w:ascii="Times New Roman" w:hAnsi="Times New Roman"/>
          <w:i/>
          <w:sz w:val="28"/>
          <w:szCs w:val="28"/>
        </w:rPr>
        <w:t xml:space="preserve">64,7 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1D2206" w:rsidRPr="00AD7000">
        <w:rPr>
          <w:rFonts w:ascii="Times New Roman" w:hAnsi="Times New Roman"/>
          <w:i/>
          <w:sz w:val="28"/>
          <w:szCs w:val="28"/>
        </w:rPr>
        <w:t>654,0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 рублей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или </w:t>
      </w:r>
      <w:r w:rsidR="001D2206" w:rsidRPr="00AD7000">
        <w:rPr>
          <w:rFonts w:ascii="Times New Roman" w:hAnsi="Times New Roman"/>
          <w:i/>
          <w:sz w:val="28"/>
          <w:szCs w:val="28"/>
        </w:rPr>
        <w:t>11,9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Pr="00AD7000" w:rsidRDefault="009C0EF5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Pr="00AD7000">
        <w:rPr>
          <w:rFonts w:ascii="Times New Roman" w:hAnsi="Times New Roman"/>
          <w:i/>
          <w:sz w:val="28"/>
          <w:szCs w:val="28"/>
        </w:rPr>
        <w:t>2 679,0 тыс. рублей или 48,9 % от общего объема доходов;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9C0EF5" w:rsidRPr="00AD7000">
        <w:rPr>
          <w:rFonts w:ascii="Times New Roman" w:hAnsi="Times New Roman"/>
          <w:i/>
          <w:sz w:val="28"/>
          <w:szCs w:val="28"/>
        </w:rPr>
        <w:t>213,7 тыс. рублей или 3,9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Pr="00FB4457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D35F7D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AD7000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9C0EF5" w:rsidRPr="00B24E8C" w:rsidRDefault="00D35F7D" w:rsidP="00B24E8C">
                  <w:r w:rsidRPr="00D35F7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1" type="#_x0000_t136" style="width:538.5pt;height:41.2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</w:t>
      </w:r>
      <w:r w:rsidR="005C7FD9">
        <w:rPr>
          <w:rFonts w:ascii="Times New Roman" w:hAnsi="Times New Roman"/>
          <w:sz w:val="28"/>
          <w:szCs w:val="28"/>
        </w:rPr>
        <w:t>ставила 5 481,2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D35F7D" w:rsidP="00F21C08">
      <w:pPr>
        <w:rPr>
          <w:rFonts w:ascii="Times New Roman" w:hAnsi="Times New Roman"/>
          <w:sz w:val="28"/>
          <w:szCs w:val="28"/>
        </w:rPr>
      </w:pPr>
      <w:r w:rsidRPr="00D35F7D">
        <w:rPr>
          <w:rFonts w:ascii="Times New Roman" w:hAnsi="Times New Roman"/>
          <w:noProof/>
          <w:sz w:val="24"/>
          <w:szCs w:val="24"/>
          <w:lang w:eastAsia="ru-RU"/>
        </w:rPr>
      </w:r>
      <w:r w:rsidRPr="00D35F7D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5D2F55" w:rsidRDefault="005D2F55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/>
        </w:trPr>
        <w:tc>
          <w:tcPr>
            <w:cnfStyle w:val="00100000000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5C7FD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5C7FD9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5C7FD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1 798,7</w:t>
            </w:r>
          </w:p>
        </w:tc>
        <w:tc>
          <w:tcPr>
            <w:tcW w:w="2197" w:type="dxa"/>
          </w:tcPr>
          <w:p w:rsidR="00076B84" w:rsidRPr="00076B84" w:rsidRDefault="00076B84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515A5E">
              <w:rPr>
                <w:rFonts w:ascii="Times New Roman" w:hAnsi="Times New Roman"/>
                <w:sz w:val="28"/>
                <w:szCs w:val="28"/>
              </w:rPr>
              <w:t> 591,0</w:t>
            </w:r>
          </w:p>
        </w:tc>
        <w:tc>
          <w:tcPr>
            <w:tcW w:w="3949" w:type="dxa"/>
          </w:tcPr>
          <w:p w:rsidR="00076B84" w:rsidRPr="00076B84" w:rsidRDefault="00B71CF5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5A5E">
              <w:rPr>
                <w:rFonts w:ascii="Times New Roman" w:hAnsi="Times New Roman"/>
                <w:sz w:val="28"/>
                <w:szCs w:val="28"/>
              </w:rPr>
              <w:t> 388,2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076B84" w:rsidRPr="00076B84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460,8</w:t>
            </w:r>
          </w:p>
        </w:tc>
        <w:tc>
          <w:tcPr>
            <w:tcW w:w="2197" w:type="dxa"/>
          </w:tcPr>
          <w:p w:rsidR="00076B84" w:rsidRPr="00076B84" w:rsidRDefault="00194CCB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3 276,5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166,6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1 564,6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505,5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</w:tr>
      <w:tr w:rsidR="00465980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465980" w:rsidRPr="00FB4457" w:rsidRDefault="00465980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59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465980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465980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465980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4 081,6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A5E">
              <w:rPr>
                <w:rFonts w:ascii="Times New Roman" w:hAnsi="Times New Roman"/>
                <w:b/>
                <w:sz w:val="28"/>
                <w:szCs w:val="28"/>
              </w:rPr>
              <w:t> 659,4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5 481,2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5C7FD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D35F7D" w:rsidP="00A30CD4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9C0EF5" w:rsidRPr="00B24E8C" w:rsidRDefault="00B24E8C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07431"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021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D4" w:rsidRPr="00B55880" w:rsidTr="00A30CD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194CC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02,1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69,8</w:t>
            </w:r>
          </w:p>
        </w:tc>
      </w:tr>
      <w:tr w:rsidR="00A30CD4" w:rsidRPr="00B55880" w:rsidTr="00A30CD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3 276,5</w:t>
            </w:r>
          </w:p>
        </w:tc>
      </w:tr>
      <w:tr w:rsidR="00A30CD4" w:rsidRPr="00B55880" w:rsidTr="00A30CD4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629,4</w:t>
            </w:r>
          </w:p>
        </w:tc>
        <w:tc>
          <w:tcPr>
            <w:tcW w:w="146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564,9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3 348,3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D35F7D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D2F55" w:rsidRPr="00965E79" w:rsidRDefault="005D2F55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707236" w:rsidRDefault="00515A5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707236" w:rsidRDefault="00515A5E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707236" w:rsidRDefault="00E61E25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515A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/>
        </w:trPr>
        <w:tc>
          <w:tcPr>
            <w:cnfStyle w:val="00100000000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0A4EE6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0A4E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A4EE6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2A7498" w:rsidRDefault="002A7498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749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32012E" w:rsidRPr="002A7498" w:rsidRDefault="002A7498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749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693" w:type="dxa"/>
            <w:vAlign w:val="center"/>
          </w:tcPr>
          <w:p w:rsidR="0032012E" w:rsidRPr="002A7498" w:rsidRDefault="002A7498" w:rsidP="00C91B9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91B90" w:rsidRPr="006B17AD" w:rsidTr="0070567A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91B90" w:rsidRPr="006B17AD" w:rsidTr="0070567A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84F">
              <w:rPr>
                <w:sz w:val="24"/>
                <w:szCs w:val="24"/>
              </w:rPr>
              <w:t>10,3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C91B90" w:rsidRPr="006B17AD" w:rsidTr="0070567A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1 638,3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684F">
              <w:rPr>
                <w:sz w:val="24"/>
                <w:szCs w:val="24"/>
              </w:rPr>
              <w:t>45,9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</w:tr>
      <w:tr w:rsidR="00C91B90" w:rsidRPr="006B17AD" w:rsidTr="0070567A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D3464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3C16B0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C16B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BA1795" w:rsidRDefault="00BA179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A1795">
              <w:rPr>
                <w:sz w:val="24"/>
                <w:szCs w:val="24"/>
              </w:rPr>
              <w:t>448,9</w:t>
            </w:r>
          </w:p>
        </w:tc>
        <w:tc>
          <w:tcPr>
            <w:tcW w:w="1701" w:type="dxa"/>
          </w:tcPr>
          <w:p w:rsidR="00C91B90" w:rsidRPr="00BA1795" w:rsidRDefault="00BA179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A1795">
              <w:rPr>
                <w:sz w:val="24"/>
                <w:szCs w:val="24"/>
              </w:rPr>
              <w:t>395,3</w:t>
            </w:r>
          </w:p>
        </w:tc>
        <w:tc>
          <w:tcPr>
            <w:tcW w:w="1693" w:type="dxa"/>
          </w:tcPr>
          <w:p w:rsidR="00C91B90" w:rsidRPr="00BA1795" w:rsidRDefault="00BE277A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795" w:rsidRPr="00BA179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91B90" w:rsidRPr="006B17AD" w:rsidTr="0070567A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4F61AE" w:rsidRDefault="004F61AE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B07431" w:rsidRDefault="004C440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 w:rsidRPr="004C44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1 883,5</w:t>
            </w:r>
          </w:p>
        </w:tc>
        <w:tc>
          <w:tcPr>
            <w:tcW w:w="1701" w:type="dxa"/>
          </w:tcPr>
          <w:p w:rsidR="006B17AD" w:rsidRPr="006B17AD" w:rsidRDefault="00B07431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84F">
              <w:rPr>
                <w:sz w:val="24"/>
                <w:szCs w:val="24"/>
              </w:rPr>
              <w:t> 718,1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84F">
              <w:rPr>
                <w:rFonts w:ascii="Times New Roman" w:hAnsi="Times New Roman" w:cs="Times New Roman"/>
                <w:sz w:val="24"/>
                <w:szCs w:val="24"/>
              </w:rPr>
              <w:t> 554,5</w:t>
            </w:r>
          </w:p>
        </w:tc>
      </w:tr>
      <w:tr w:rsidR="006B17AD" w:rsidRPr="006B17AD" w:rsidTr="0070567A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Старобурасского</w:t>
      </w:r>
      <w:proofErr w:type="spellEnd"/>
      <w: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D7F8B">
        <w:rPr>
          <w:rFonts w:ascii="Times New Roman" w:hAnsi="Times New Roman"/>
          <w:sz w:val="28"/>
          <w:szCs w:val="28"/>
          <w:lang w:val="en-US"/>
        </w:rPr>
        <w:t>fu</w:t>
      </w:r>
      <w:r w:rsidR="00CD7F8B">
        <w:rPr>
          <w:rFonts w:ascii="Times New Roman" w:hAnsi="Times New Roman"/>
          <w:sz w:val="28"/>
          <w:szCs w:val="28"/>
        </w:rPr>
        <w:t>@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D7F8B">
        <w:rPr>
          <w:rFonts w:ascii="Times New Roman" w:hAnsi="Times New Roman"/>
          <w:sz w:val="28"/>
          <w:szCs w:val="28"/>
        </w:rPr>
        <w:t>.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2022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4,7%</c:v>
                </c:pt>
                <c:pt idx="1">
                  <c:v>налог на имущество физических лиц  1,7%</c:v>
                </c:pt>
                <c:pt idx="2">
                  <c:v>земельный налог 16,3%</c:v>
                </c:pt>
                <c:pt idx="3">
                  <c:v>субсидии 48,9</c:v>
                </c:pt>
                <c:pt idx="4">
                  <c:v>дотация 11,9</c:v>
                </c:pt>
                <c:pt idx="5">
                  <c:v>иные межбюджетные трансферты 3,9%</c:v>
                </c:pt>
                <c:pt idx="6">
                  <c:v>единый с/х налог 00,2 %</c:v>
                </c:pt>
                <c:pt idx="7">
                  <c:v>Акцизы 10,9 %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11.7</c:v>
                </c:pt>
                <c:pt idx="1">
                  <c:v>7.9</c:v>
                </c:pt>
                <c:pt idx="2">
                  <c:v>37.9</c:v>
                </c:pt>
                <c:pt idx="4">
                  <c:v>18.5</c:v>
                </c:pt>
                <c:pt idx="5">
                  <c:v>23.6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578"/>
          <c:y val="0.15701076887448148"/>
          <c:w val="0.32470864982937286"/>
          <c:h val="0.729973367299678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23"/>
          <c:w val="0.73319544984489138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1388.2</c:v>
                </c:pt>
                <c:pt idx="1">
                  <c:v>3276.5</c:v>
                </c:pt>
                <c:pt idx="2">
                  <c:v>69.8</c:v>
                </c:pt>
                <c:pt idx="3">
                  <c:v>746.7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2274610568573825E-2"/>
          <c:y val="0.66485578245760768"/>
          <c:w val="0.86438039088957763"/>
          <c:h val="0.27073740069167679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7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7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650" y="21262"/>
        <a:ext cx="6673100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7015-A6F7-4800-81DF-2677C82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cherebaeva</cp:lastModifiedBy>
  <cp:revision>5</cp:revision>
  <cp:lastPrinted>2021-11-12T11:34:00Z</cp:lastPrinted>
  <dcterms:created xsi:type="dcterms:W3CDTF">2021-11-19T09:40:00Z</dcterms:created>
  <dcterms:modified xsi:type="dcterms:W3CDTF">2021-11-22T10:05:00Z</dcterms:modified>
</cp:coreProperties>
</file>