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5B353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DF2984">
              <w:t>Старобурасского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5B3536" w:rsidRPr="00DF2984">
              <w:t>Старобурасского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BD049A" w:rsidP="00F44226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636E83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636E83">
        <w:rPr>
          <w:b/>
          <w:color w:val="244061" w:themeColor="accent1" w:themeShade="80"/>
          <w:sz w:val="28"/>
          <w:szCs w:val="28"/>
        </w:rPr>
        <w:t>Итоги</w:t>
      </w:r>
      <w:r w:rsidR="00746CD1" w:rsidRPr="00636E83">
        <w:rPr>
          <w:b/>
          <w:color w:val="244061" w:themeColor="accent1" w:themeShade="80"/>
          <w:sz w:val="28"/>
          <w:szCs w:val="28"/>
        </w:rPr>
        <w:t xml:space="preserve"> </w:t>
      </w:r>
      <w:r w:rsidRPr="00636E83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BD049A">
        <w:rPr>
          <w:b/>
          <w:color w:val="244061" w:themeColor="accent1" w:themeShade="80"/>
          <w:sz w:val="28"/>
          <w:szCs w:val="28"/>
        </w:rPr>
        <w:t>за 2020</w:t>
      </w:r>
      <w:r w:rsidRPr="00636E83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636E83" w:rsidRDefault="0064462B" w:rsidP="00746CD1">
      <w:pPr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BB2FDE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95380B" w:rsidRPr="00BB2FDE" w:rsidRDefault="0095380B" w:rsidP="0095380B">
            <w:pPr>
              <w:spacing w:after="240"/>
              <w:jc w:val="both"/>
              <w:rPr>
                <w:sz w:val="28"/>
                <w:szCs w:val="28"/>
                <w:highlight w:val="yellow"/>
              </w:rPr>
            </w:pPr>
            <w:r w:rsidRPr="00BB2FDE">
              <w:rPr>
                <w:sz w:val="28"/>
                <w:szCs w:val="28"/>
                <w:highlight w:val="yellow"/>
              </w:rPr>
              <w:t xml:space="preserve">   </w:t>
            </w:r>
          </w:p>
          <w:p w:rsidR="00BD049A" w:rsidRPr="00BD049A" w:rsidRDefault="00636E83" w:rsidP="00BD049A">
            <w:pPr>
              <w:jc w:val="both"/>
              <w:rPr>
                <w:sz w:val="28"/>
                <w:szCs w:val="28"/>
              </w:rPr>
            </w:pPr>
            <w:r w:rsidRPr="00DF2984">
              <w:rPr>
                <w:sz w:val="28"/>
                <w:szCs w:val="28"/>
              </w:rPr>
              <w:t xml:space="preserve">      </w:t>
            </w:r>
            <w:r w:rsidR="00BD049A" w:rsidRPr="00BD049A">
              <w:rPr>
                <w:sz w:val="28"/>
                <w:szCs w:val="28"/>
              </w:rPr>
              <w:t>1. Объем валовой продукции сельского хозяйства за  2020 год составил 264,6 млн</w:t>
            </w:r>
            <w:proofErr w:type="gramStart"/>
            <w:r w:rsidR="00BD049A" w:rsidRPr="00BD049A">
              <w:rPr>
                <w:sz w:val="28"/>
                <w:szCs w:val="28"/>
              </w:rPr>
              <w:t>.р</w:t>
            </w:r>
            <w:proofErr w:type="gramEnd"/>
            <w:r w:rsidR="00BD049A" w:rsidRPr="00BD049A">
              <w:rPr>
                <w:sz w:val="28"/>
                <w:szCs w:val="28"/>
              </w:rPr>
              <w:t>уб., или 123,7% к аналогичному периоду уровня прошлого года.</w:t>
            </w:r>
          </w:p>
          <w:p w:rsidR="00BD049A" w:rsidRPr="00BD049A" w:rsidRDefault="00BD049A" w:rsidP="00BD049A">
            <w:pPr>
              <w:jc w:val="both"/>
              <w:rPr>
                <w:sz w:val="28"/>
                <w:szCs w:val="28"/>
              </w:rPr>
            </w:pPr>
          </w:p>
          <w:p w:rsidR="00BD049A" w:rsidRDefault="00BD049A" w:rsidP="00BD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049A">
              <w:rPr>
                <w:sz w:val="28"/>
                <w:szCs w:val="28"/>
              </w:rPr>
              <w:t>2. Оборот розничной торговли составил 50,4 млн. руб. или 104,3% к аналогичному периоду уровня прошлого года.</w:t>
            </w:r>
          </w:p>
          <w:p w:rsidR="00BD049A" w:rsidRPr="00BD049A" w:rsidRDefault="00BD049A" w:rsidP="00BD049A">
            <w:pPr>
              <w:jc w:val="both"/>
              <w:rPr>
                <w:sz w:val="28"/>
                <w:szCs w:val="28"/>
              </w:rPr>
            </w:pPr>
          </w:p>
          <w:p w:rsidR="00BD049A" w:rsidRDefault="00BD049A" w:rsidP="00BD049A">
            <w:pPr>
              <w:jc w:val="both"/>
              <w:rPr>
                <w:sz w:val="28"/>
                <w:szCs w:val="28"/>
              </w:rPr>
            </w:pPr>
            <w:r w:rsidRPr="00BD049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BD049A">
              <w:rPr>
                <w:sz w:val="28"/>
                <w:szCs w:val="28"/>
              </w:rPr>
              <w:t>3. Организациями общественного питания за 2020 год реализовано продукции на сумму 1,3 млн. руб. или 82,8 % к аналогичному периоду уровня прошлого года.</w:t>
            </w:r>
          </w:p>
          <w:p w:rsidR="00BD049A" w:rsidRPr="00BD049A" w:rsidRDefault="00BD049A" w:rsidP="00BD049A">
            <w:pPr>
              <w:jc w:val="both"/>
              <w:rPr>
                <w:sz w:val="28"/>
                <w:szCs w:val="28"/>
              </w:rPr>
            </w:pPr>
          </w:p>
          <w:p w:rsidR="00BD049A" w:rsidRDefault="00BD049A" w:rsidP="00BD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049A">
              <w:rPr>
                <w:sz w:val="28"/>
                <w:szCs w:val="28"/>
              </w:rPr>
              <w:t xml:space="preserve">4. </w:t>
            </w:r>
            <w:proofErr w:type="gramStart"/>
            <w:r w:rsidRPr="00BD049A">
              <w:rPr>
                <w:sz w:val="28"/>
                <w:szCs w:val="28"/>
              </w:rPr>
              <w:t>Средняя заработная плата, начисленная работникам организаций муниципального образования за 2020 год составила</w:t>
            </w:r>
            <w:proofErr w:type="gramEnd"/>
            <w:r w:rsidRPr="00BD049A">
              <w:rPr>
                <w:sz w:val="28"/>
                <w:szCs w:val="28"/>
              </w:rPr>
              <w:t xml:space="preserve"> 21443,3 руб., что больше уровня прошлого года на 19,9%.</w:t>
            </w:r>
          </w:p>
          <w:p w:rsidR="00BD049A" w:rsidRPr="00BD049A" w:rsidRDefault="00BD049A" w:rsidP="00BD049A">
            <w:pPr>
              <w:jc w:val="both"/>
              <w:rPr>
                <w:sz w:val="28"/>
                <w:szCs w:val="28"/>
              </w:rPr>
            </w:pPr>
          </w:p>
          <w:p w:rsidR="00636E83" w:rsidRPr="00DF2984" w:rsidRDefault="00BD049A" w:rsidP="00BD049A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BD049A">
              <w:rPr>
                <w:sz w:val="28"/>
                <w:szCs w:val="28"/>
              </w:rPr>
              <w:t>5. Валовой внутренний продукт, по сравнению с аналогичным периодом 2019 года увеличился на 19,9% и составил 316,2 млн</w:t>
            </w:r>
            <w:proofErr w:type="gramStart"/>
            <w:r w:rsidRPr="00BD049A">
              <w:rPr>
                <w:sz w:val="28"/>
                <w:szCs w:val="28"/>
              </w:rPr>
              <w:t>.р</w:t>
            </w:r>
            <w:proofErr w:type="gramEnd"/>
            <w:r w:rsidRPr="00BD049A">
              <w:rPr>
                <w:sz w:val="28"/>
                <w:szCs w:val="28"/>
              </w:rPr>
              <w:t>уб.</w:t>
            </w:r>
            <w:r w:rsidR="00636E83" w:rsidRPr="00DF2984">
              <w:rPr>
                <w:sz w:val="28"/>
                <w:szCs w:val="28"/>
              </w:rPr>
              <w:t xml:space="preserve"> </w:t>
            </w:r>
          </w:p>
          <w:p w:rsidR="00636E83" w:rsidRPr="00DF2984" w:rsidRDefault="00636E83" w:rsidP="00636E83">
            <w:pPr>
              <w:pStyle w:val="a3"/>
              <w:ind w:left="709" w:firstLine="425"/>
              <w:jc w:val="both"/>
              <w:rPr>
                <w:iCs/>
                <w:sz w:val="28"/>
                <w:szCs w:val="28"/>
              </w:rPr>
            </w:pPr>
          </w:p>
          <w:p w:rsidR="00746CD1" w:rsidRPr="00BB2FDE" w:rsidRDefault="00746CD1" w:rsidP="00636E83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E233FE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E233FE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A5144B" w:rsidRPr="00E233FE">
        <w:rPr>
          <w:b/>
          <w:color w:val="244061" w:themeColor="accent1" w:themeShade="80"/>
          <w:u w:val="single"/>
        </w:rPr>
        <w:t>СИРОВАНИЮ ЗА СЧЕТ БЮДЖЕТА В 2020</w:t>
      </w:r>
      <w:r w:rsidRPr="00E233FE">
        <w:rPr>
          <w:b/>
          <w:color w:val="244061" w:themeColor="accent1" w:themeShade="80"/>
          <w:u w:val="single"/>
        </w:rPr>
        <w:t xml:space="preserve"> ГОДУ</w:t>
      </w:r>
    </w:p>
    <w:p w:rsidR="0064462B" w:rsidRPr="00950D47" w:rsidRDefault="0064462B" w:rsidP="00C83A64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9671E3">
        <w:trPr>
          <w:cnfStyle w:val="100000000000"/>
          <w:trHeight w:val="60"/>
        </w:trPr>
        <w:tc>
          <w:tcPr>
            <w:cnfStyle w:val="001000000000"/>
            <w:tcW w:w="10989" w:type="dxa"/>
          </w:tcPr>
          <w:p w:rsidR="00C83A64" w:rsidRPr="00950D47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highlight w:val="yellow"/>
                <w:u w:val="single"/>
              </w:rPr>
            </w:pPr>
          </w:p>
          <w:p w:rsidR="0074075A" w:rsidRPr="0074075A" w:rsidRDefault="0074075A" w:rsidP="0074075A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i/>
                <w:color w:val="244061" w:themeColor="accent1" w:themeShade="80"/>
                <w:sz w:val="28"/>
                <w:szCs w:val="28"/>
              </w:rPr>
              <w:t xml:space="preserve">           </w:t>
            </w:r>
            <w:r w:rsidRPr="00740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программе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реализации инициативного</w:t>
            </w:r>
            <w:r w:rsidRPr="00740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t xml:space="preserve"> </w:t>
            </w:r>
            <w:r w:rsidR="004D5811" w:rsidRPr="004D58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позволило</w:t>
            </w:r>
            <w:r w:rsidR="004D5811"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выполнить </w:t>
            </w:r>
            <w:r w:rsidR="00002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ремонт отопительной системы </w:t>
            </w:r>
            <w:proofErr w:type="spellStart"/>
            <w:r w:rsidR="00002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Старобурасского</w:t>
            </w:r>
            <w:proofErr w:type="spellEnd"/>
            <w:r w:rsidR="000027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СДК (ввод и подключение газа, приобретение газового оборудования).</w:t>
            </w:r>
          </w:p>
          <w:p w:rsidR="000721A5" w:rsidRPr="0064462B" w:rsidRDefault="0074075A" w:rsidP="0074075A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 w:rsidRPr="0031338E">
              <w:rPr>
                <w:sz w:val="28"/>
                <w:szCs w:val="28"/>
              </w:rPr>
              <w:t xml:space="preserve">         По условиям конкурса из бюджета муниципального обр</w:t>
            </w:r>
            <w:r w:rsidR="004D5811">
              <w:rPr>
                <w:sz w:val="28"/>
                <w:szCs w:val="28"/>
              </w:rPr>
              <w:t>азования выделено 10% (это 108,5</w:t>
            </w:r>
            <w:r w:rsidRPr="0031338E">
              <w:rPr>
                <w:sz w:val="28"/>
                <w:szCs w:val="28"/>
              </w:rPr>
              <w:t xml:space="preserve"> тыс. рублей), ю</w:t>
            </w:r>
            <w:r w:rsidR="004D5811">
              <w:rPr>
                <w:sz w:val="28"/>
                <w:szCs w:val="28"/>
              </w:rPr>
              <w:t>ридические лица и КФХ собрали 11,0</w:t>
            </w:r>
            <w:r w:rsidRPr="0031338E">
              <w:rPr>
                <w:sz w:val="28"/>
                <w:szCs w:val="28"/>
              </w:rPr>
              <w:t xml:space="preserve"> тыс. рублей, жители внесли свой вклад в сумме 32,6 тыс. рублей, областная </w:t>
            </w:r>
            <w:r w:rsidR="004D5811">
              <w:rPr>
                <w:sz w:val="28"/>
                <w:szCs w:val="28"/>
              </w:rPr>
              <w:t>субсидия составила в сумме 933,5</w:t>
            </w:r>
            <w:r w:rsidRPr="0031338E">
              <w:rPr>
                <w:sz w:val="28"/>
                <w:szCs w:val="28"/>
              </w:rPr>
              <w:t xml:space="preserve"> тыс. рублей. Общая</w:t>
            </w:r>
            <w:r w:rsidR="004D5811">
              <w:rPr>
                <w:sz w:val="28"/>
                <w:szCs w:val="28"/>
              </w:rPr>
              <w:t xml:space="preserve"> сумма в итоге составила 1 085,6</w:t>
            </w:r>
            <w:r w:rsidRPr="0031338E">
              <w:rPr>
                <w:sz w:val="28"/>
                <w:szCs w:val="28"/>
              </w:rPr>
              <w:t xml:space="preserve"> тыс.</w:t>
            </w:r>
            <w:r w:rsidR="0062727A">
              <w:rPr>
                <w:sz w:val="28"/>
                <w:szCs w:val="28"/>
              </w:rPr>
              <w:t xml:space="preserve"> рублей..</w:t>
            </w:r>
            <w:r w:rsidRPr="0031338E">
              <w:rPr>
                <w:sz w:val="28"/>
                <w:szCs w:val="28"/>
              </w:rPr>
              <w:t xml:space="preserve"> 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9671E3">
            <w:pPr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9671E3" w:rsidRDefault="009671E3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95380B" w:rsidRDefault="0095380B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2279A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2279A">
        <w:rPr>
          <w:b/>
          <w:color w:val="244061" w:themeColor="accent1" w:themeShade="80"/>
          <w:sz w:val="28"/>
          <w:szCs w:val="28"/>
          <w:u w:val="single"/>
        </w:rPr>
        <w:t>Показатели бюджета для граждан</w:t>
      </w:r>
    </w:p>
    <w:p w:rsidR="0064462B" w:rsidRPr="0062279A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62279A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62279A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62279A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62279A" w:rsidRDefault="000D4D1A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62279A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62279A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62279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2279A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62279A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5B3536" w:rsidRPr="0064462B" w:rsidTr="006A1649">
        <w:trPr>
          <w:trHeight w:val="615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0D4D1A" w:rsidP="006A1649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983" w:type="dxa"/>
            <w:vAlign w:val="bottom"/>
          </w:tcPr>
          <w:p w:rsidR="005B3536" w:rsidRPr="00BD3C1B" w:rsidRDefault="000D4D1A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5B3536" w:rsidRPr="0064462B" w:rsidTr="006A1649">
        <w:trPr>
          <w:cnfStyle w:val="000000100000"/>
          <w:trHeight w:val="539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0D4D1A" w:rsidP="005B3536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3" w:type="dxa"/>
            <w:vAlign w:val="bottom"/>
          </w:tcPr>
          <w:p w:rsidR="005B3536" w:rsidRPr="00BD3C1B" w:rsidRDefault="000D4D1A" w:rsidP="005B3536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4,3</w:t>
            </w:r>
          </w:p>
        </w:tc>
      </w:tr>
      <w:tr w:rsidR="005B3536" w:rsidRPr="0064462B" w:rsidTr="006A1649">
        <w:trPr>
          <w:trHeight w:val="831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62279A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1</w:t>
            </w:r>
            <w:r w:rsidR="000D4D1A" w:rsidRPr="00BD3C1B">
              <w:rPr>
                <w:i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1983" w:type="dxa"/>
            <w:vAlign w:val="bottom"/>
          </w:tcPr>
          <w:p w:rsidR="005B3536" w:rsidRPr="00BD3C1B" w:rsidRDefault="000D4D1A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174,5</w:t>
            </w:r>
          </w:p>
        </w:tc>
      </w:tr>
      <w:tr w:rsidR="005B3536" w:rsidRPr="0064462B" w:rsidTr="006A1649">
        <w:trPr>
          <w:cnfStyle w:val="000000100000"/>
          <w:trHeight w:val="828"/>
        </w:trPr>
        <w:tc>
          <w:tcPr>
            <w:cnfStyle w:val="001000000000"/>
            <w:tcW w:w="865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0D4D1A" w:rsidP="005B3536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1 702,7</w:t>
            </w:r>
          </w:p>
        </w:tc>
        <w:tc>
          <w:tcPr>
            <w:tcW w:w="1983" w:type="dxa"/>
            <w:vAlign w:val="bottom"/>
          </w:tcPr>
          <w:p w:rsidR="005B3536" w:rsidRPr="00BD3C1B" w:rsidRDefault="000D4D1A" w:rsidP="005B3536">
            <w:pPr>
              <w:jc w:val="center"/>
              <w:cnfStyle w:val="0000001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1 638,3</w:t>
            </w:r>
          </w:p>
        </w:tc>
      </w:tr>
      <w:tr w:rsidR="005B3536" w:rsidRPr="0064462B" w:rsidTr="006A1649">
        <w:trPr>
          <w:trHeight w:val="1110"/>
        </w:trPr>
        <w:tc>
          <w:tcPr>
            <w:cnfStyle w:val="001000000000"/>
            <w:tcW w:w="865" w:type="dxa"/>
          </w:tcPr>
          <w:p w:rsidR="005B3536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6A1649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502,6</w:t>
            </w:r>
          </w:p>
        </w:tc>
        <w:tc>
          <w:tcPr>
            <w:tcW w:w="1983" w:type="dxa"/>
            <w:vAlign w:val="bottom"/>
          </w:tcPr>
          <w:p w:rsidR="005B3536" w:rsidRPr="00BD3C1B" w:rsidRDefault="006A1649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449,7</w:t>
            </w:r>
          </w:p>
        </w:tc>
      </w:tr>
      <w:tr w:rsidR="00C76DFD" w:rsidRPr="0064462B" w:rsidTr="006A1649">
        <w:trPr>
          <w:cnfStyle w:val="000000100000"/>
          <w:trHeight w:val="1368"/>
        </w:trPr>
        <w:tc>
          <w:tcPr>
            <w:cnfStyle w:val="001000000000"/>
            <w:tcW w:w="865" w:type="dxa"/>
          </w:tcPr>
          <w:p w:rsidR="00C76DFD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BD3C1B" w:rsidRDefault="006A1649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D3C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BD3C1B" w:rsidRDefault="006A1649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D3C1B">
              <w:rPr>
                <w:i/>
                <w:sz w:val="24"/>
                <w:szCs w:val="24"/>
              </w:rPr>
              <w:t>-</w:t>
            </w:r>
          </w:p>
        </w:tc>
      </w:tr>
      <w:tr w:rsidR="005B3536" w:rsidRPr="0064462B" w:rsidTr="006A1649">
        <w:trPr>
          <w:trHeight w:val="1401"/>
        </w:trPr>
        <w:tc>
          <w:tcPr>
            <w:cnfStyle w:val="001000000000"/>
            <w:tcW w:w="865" w:type="dxa"/>
          </w:tcPr>
          <w:p w:rsidR="005B3536" w:rsidRPr="0064462B" w:rsidRDefault="00475114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5B3536" w:rsidRPr="0064462B" w:rsidRDefault="005B3536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619" w:type="dxa"/>
          </w:tcPr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6A1649" w:rsidRDefault="006A1649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</w:p>
          <w:p w:rsidR="005B3536" w:rsidRPr="0064462B" w:rsidRDefault="005B3536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bottom"/>
          </w:tcPr>
          <w:p w:rsidR="005B3536" w:rsidRPr="00BD3C1B" w:rsidRDefault="000D4D1A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2 105,0</w:t>
            </w:r>
          </w:p>
        </w:tc>
        <w:tc>
          <w:tcPr>
            <w:tcW w:w="1983" w:type="dxa"/>
            <w:vAlign w:val="bottom"/>
          </w:tcPr>
          <w:p w:rsidR="005B3536" w:rsidRPr="00BD3C1B" w:rsidRDefault="000D4D1A" w:rsidP="005B3536">
            <w:pPr>
              <w:jc w:val="center"/>
              <w:cnfStyle w:val="000000000000"/>
              <w:rPr>
                <w:i/>
                <w:color w:val="000000"/>
                <w:sz w:val="24"/>
                <w:szCs w:val="24"/>
              </w:rPr>
            </w:pPr>
            <w:r w:rsidRPr="00BD3C1B">
              <w:rPr>
                <w:i/>
                <w:color w:val="000000"/>
                <w:sz w:val="24"/>
                <w:szCs w:val="24"/>
              </w:rPr>
              <w:t>1 883,5</w:t>
            </w:r>
          </w:p>
        </w:tc>
      </w:tr>
      <w:tr w:rsidR="00445B06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445B06" w:rsidRPr="0064462B" w:rsidRDefault="004751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445B06" w:rsidRPr="0064462B" w:rsidRDefault="00445B06" w:rsidP="00BB2FDE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445B06" w:rsidRPr="0064462B" w:rsidRDefault="00445B06" w:rsidP="00BB2FD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445B06" w:rsidRPr="00BD3C1B" w:rsidRDefault="00445B06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D3C1B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45B06" w:rsidRPr="00BD3C1B" w:rsidRDefault="00475114" w:rsidP="005B353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D3C1B"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5B3536" w:rsidRDefault="005B1B00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2020</w:t>
      </w:r>
      <w:r w:rsidR="00632353" w:rsidRPr="005B3536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5B3536" w:rsidRPr="00C50AD7" w:rsidTr="00BB2FDE">
        <w:trPr>
          <w:cnfStyle w:val="100000000000"/>
        </w:trPr>
        <w:tc>
          <w:tcPr>
            <w:cnfStyle w:val="001000000000"/>
            <w:tcW w:w="775" w:type="dxa"/>
          </w:tcPr>
          <w:p w:rsidR="005B3536" w:rsidRPr="00C50AD7" w:rsidRDefault="005B3536" w:rsidP="00BB2FD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6662" w:type="dxa"/>
          </w:tcPr>
          <w:p w:rsidR="005B3536" w:rsidRPr="00C50AD7" w:rsidRDefault="005B3536" w:rsidP="00BB2FD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130" w:type="dxa"/>
            <w:vAlign w:val="center"/>
          </w:tcPr>
          <w:p w:rsidR="005B3536" w:rsidRPr="0064462B" w:rsidRDefault="005B3536" w:rsidP="00BB2FDE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134" w:type="dxa"/>
            <w:vAlign w:val="center"/>
          </w:tcPr>
          <w:p w:rsidR="005B3536" w:rsidRPr="0064462B" w:rsidRDefault="005B3536" w:rsidP="00BB2FD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321" w:type="dxa"/>
          </w:tcPr>
          <w:p w:rsidR="005B3536" w:rsidRPr="00C50AD7" w:rsidRDefault="005B3536" w:rsidP="00BB2FD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1 215,3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1 239,4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101,9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274,2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171,5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62,5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5,1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0,9</w:t>
            </w:r>
          </w:p>
        </w:tc>
        <w:tc>
          <w:tcPr>
            <w:tcW w:w="1321" w:type="dxa"/>
          </w:tcPr>
          <w:p w:rsidR="005B3536" w:rsidRPr="00CE189F" w:rsidRDefault="005C594F" w:rsidP="004E6AED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18,8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122,0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105,2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86,2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Земельный налог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814,0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961,7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118,1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rPr>
          <w:trHeight w:val="592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Государственная пошлина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4E6AED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1 215,3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1 239,4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101,9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b w:val="0"/>
                <w:bCs w:val="0"/>
                <w:i/>
                <w:iCs/>
              </w:rPr>
            </w:pPr>
            <w:r w:rsidRPr="00CE189F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130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2 909,9</w:t>
            </w:r>
          </w:p>
        </w:tc>
        <w:tc>
          <w:tcPr>
            <w:cnfStyle w:val="000010000000"/>
            <w:tcW w:w="1134" w:type="dxa"/>
          </w:tcPr>
          <w:p w:rsidR="005B3536" w:rsidRPr="00CE189F" w:rsidRDefault="005C594F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2 854,5</w:t>
            </w:r>
          </w:p>
        </w:tc>
        <w:tc>
          <w:tcPr>
            <w:tcW w:w="1321" w:type="dxa"/>
          </w:tcPr>
          <w:p w:rsidR="005B3536" w:rsidRPr="00CE189F" w:rsidRDefault="005C594F" w:rsidP="00BB2FD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98,1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 xml:space="preserve"> Дотация</w:t>
            </w:r>
          </w:p>
        </w:tc>
        <w:tc>
          <w:tcPr>
            <w:tcW w:w="1130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810,7</w:t>
            </w: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810,7</w:t>
            </w:r>
          </w:p>
        </w:tc>
        <w:tc>
          <w:tcPr>
            <w:tcW w:w="1321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Субсидия</w:t>
            </w:r>
          </w:p>
        </w:tc>
        <w:tc>
          <w:tcPr>
            <w:tcW w:w="1130" w:type="dxa"/>
          </w:tcPr>
          <w:p w:rsidR="005B3536" w:rsidRDefault="00B60F84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933,5</w:t>
            </w:r>
          </w:p>
          <w:p w:rsidR="00B60F84" w:rsidRPr="00CE189F" w:rsidRDefault="00B60F84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933,5</w:t>
            </w:r>
          </w:p>
        </w:tc>
        <w:tc>
          <w:tcPr>
            <w:tcW w:w="1321" w:type="dxa"/>
          </w:tcPr>
          <w:p w:rsidR="005B3536" w:rsidRPr="00CE189F" w:rsidRDefault="00B60F84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Субвенция</w:t>
            </w:r>
          </w:p>
        </w:tc>
        <w:tc>
          <w:tcPr>
            <w:tcW w:w="1130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90,9</w:t>
            </w: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130" w:type="dxa"/>
          </w:tcPr>
          <w:p w:rsidR="005B3536" w:rsidRPr="00CE189F" w:rsidRDefault="00B60F84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1 031,2</w:t>
            </w: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975,7</w:t>
            </w:r>
          </w:p>
        </w:tc>
        <w:tc>
          <w:tcPr>
            <w:tcW w:w="1321" w:type="dxa"/>
          </w:tcPr>
          <w:p w:rsidR="005B3536" w:rsidRPr="00CE189F" w:rsidRDefault="00B60F84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94,6</w:t>
            </w:r>
            <w:r w:rsidR="005B3536">
              <w:rPr>
                <w:i/>
                <w:iCs/>
              </w:rPr>
              <w:t>%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Прочие доходы</w:t>
            </w:r>
          </w:p>
        </w:tc>
        <w:tc>
          <w:tcPr>
            <w:tcW w:w="1130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43,6</w:t>
            </w: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43,6</w:t>
            </w:r>
          </w:p>
        </w:tc>
        <w:tc>
          <w:tcPr>
            <w:tcW w:w="1321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  <w:r w:rsidR="005B3536">
              <w:rPr>
                <w:i/>
                <w:iCs/>
              </w:rPr>
              <w:t>-</w:t>
            </w:r>
          </w:p>
        </w:tc>
      </w:tr>
      <w:tr w:rsidR="005B3536" w:rsidRPr="00C50AD7" w:rsidTr="005B3536">
        <w:trPr>
          <w:cnfStyle w:val="000000100000"/>
        </w:trPr>
        <w:tc>
          <w:tcPr>
            <w:cnfStyle w:val="001000000000"/>
            <w:tcW w:w="775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i/>
                <w:iCs/>
              </w:rPr>
            </w:pPr>
            <w:r w:rsidRPr="00CE189F">
              <w:rPr>
                <w:i/>
                <w:iCs/>
              </w:rPr>
              <w:t>Возвраты</w:t>
            </w:r>
          </w:p>
        </w:tc>
        <w:tc>
          <w:tcPr>
            <w:tcW w:w="1130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134" w:type="dxa"/>
          </w:tcPr>
          <w:p w:rsidR="005B3536" w:rsidRPr="00CE189F" w:rsidRDefault="005B3536" w:rsidP="00BB2FD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5B3536" w:rsidRPr="00CE189F" w:rsidRDefault="005B3536" w:rsidP="00BB2FD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5B3536" w:rsidRPr="00C50AD7" w:rsidTr="005B3536">
        <w:tc>
          <w:tcPr>
            <w:cnfStyle w:val="001000000000"/>
            <w:tcW w:w="775" w:type="dxa"/>
          </w:tcPr>
          <w:p w:rsidR="005B3536" w:rsidRPr="00CE189F" w:rsidRDefault="00B60F84" w:rsidP="00BB2FDE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4 </w:t>
            </w:r>
          </w:p>
        </w:tc>
        <w:tc>
          <w:tcPr>
            <w:cnfStyle w:val="000010000000"/>
            <w:tcW w:w="6662" w:type="dxa"/>
          </w:tcPr>
          <w:p w:rsidR="005B3536" w:rsidRPr="00CE189F" w:rsidRDefault="005B3536" w:rsidP="00BB2FDE">
            <w:pPr>
              <w:rPr>
                <w:b/>
                <w:bCs/>
                <w:i/>
                <w:iCs/>
              </w:rPr>
            </w:pPr>
            <w:r w:rsidRPr="00CE189F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130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4 125,2</w:t>
            </w:r>
          </w:p>
        </w:tc>
        <w:tc>
          <w:tcPr>
            <w:cnfStyle w:val="000010000000"/>
            <w:tcW w:w="1134" w:type="dxa"/>
          </w:tcPr>
          <w:p w:rsidR="005B3536" w:rsidRPr="00CE189F" w:rsidRDefault="00B60F84" w:rsidP="00BB2FD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4 093,9</w:t>
            </w:r>
          </w:p>
        </w:tc>
        <w:tc>
          <w:tcPr>
            <w:tcW w:w="1321" w:type="dxa"/>
          </w:tcPr>
          <w:p w:rsidR="005B3536" w:rsidRPr="00CE189F" w:rsidRDefault="00B60F84" w:rsidP="00BB2FD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99,2</w:t>
            </w:r>
            <w:r w:rsidR="005B3536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5B3536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5B3536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 w:rsidRPr="005B353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BB2FDE">
        <w:rPr>
          <w:b/>
          <w:color w:val="244061" w:themeColor="accent1" w:themeShade="80"/>
          <w:sz w:val="28"/>
          <w:szCs w:val="28"/>
          <w:u w:val="single"/>
        </w:rPr>
        <w:t>бюджета за 20</w:t>
      </w:r>
      <w:r w:rsidR="00B60F84">
        <w:rPr>
          <w:b/>
          <w:color w:val="244061" w:themeColor="accent1" w:themeShade="80"/>
          <w:sz w:val="28"/>
          <w:szCs w:val="28"/>
          <w:u w:val="single"/>
        </w:rPr>
        <w:t>20</w:t>
      </w:r>
      <w:r w:rsidRPr="005B3536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bookmarkStart w:id="0" w:name="_GoBack"/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390525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4F4F6E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31743D" w:rsidRPr="0064462B" w:rsidTr="00BB2FDE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2 010,3</w:t>
            </w:r>
          </w:p>
        </w:tc>
        <w:tc>
          <w:tcPr>
            <w:tcW w:w="1581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1 798,7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</w:t>
            </w:r>
            <w:r w:rsidR="00275C84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1743D" w:rsidRPr="0064462B" w:rsidTr="00BB2FDE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1 865,4</w:t>
            </w:r>
          </w:p>
        </w:tc>
        <w:tc>
          <w:tcPr>
            <w:tcW w:w="1581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1 795,6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75C84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144,9</w:t>
            </w:r>
          </w:p>
        </w:tc>
        <w:tc>
          <w:tcPr>
            <w:tcW w:w="1581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 w:rsidRPr="0031743D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  <w:vAlign w:val="center"/>
          </w:tcPr>
          <w:p w:rsidR="0031743D" w:rsidRPr="0031743D" w:rsidRDefault="0031743D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</w:tcPr>
          <w:p w:rsidR="0031743D" w:rsidRPr="0064462B" w:rsidRDefault="0031743D" w:rsidP="00BB2FD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31743D" w:rsidRPr="0064462B" w:rsidRDefault="0031743D" w:rsidP="00BB2FDE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31743D" w:rsidRPr="0064462B" w:rsidRDefault="0031743D" w:rsidP="00BB2FDE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31743D" w:rsidRPr="0064462B" w:rsidRDefault="0031743D" w:rsidP="00BB2FDE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460,8</w:t>
            </w:r>
          </w:p>
        </w:tc>
        <w:tc>
          <w:tcPr>
            <w:tcW w:w="890" w:type="dxa"/>
            <w:vAlign w:val="center"/>
          </w:tcPr>
          <w:p w:rsidR="0031743D" w:rsidRPr="0031743D" w:rsidRDefault="00BB2FD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31743D" w:rsidRPr="0031743D" w:rsidRDefault="00BB2FD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4F4F6E">
              <w:rPr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99,8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166,6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31743D" w:rsidRPr="001453AE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1 626,1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1 564,6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96,2</w:t>
            </w:r>
          </w:p>
        </w:tc>
      </w:tr>
      <w:tr w:rsidR="0031743D" w:rsidRPr="0064462B" w:rsidTr="00BB2FD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1 626,1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1 564,6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96,2</w:t>
            </w:r>
          </w:p>
        </w:tc>
      </w:tr>
      <w:tr w:rsidR="0031743D" w:rsidRPr="0064462B" w:rsidTr="00BB2FD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31743D" w:rsidRPr="0031743D" w:rsidRDefault="004F4F6E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4 355,1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4 081,6</w:t>
            </w:r>
          </w:p>
        </w:tc>
        <w:tc>
          <w:tcPr>
            <w:tcW w:w="890" w:type="dxa"/>
            <w:vAlign w:val="center"/>
          </w:tcPr>
          <w:p w:rsidR="0031743D" w:rsidRPr="0031743D" w:rsidRDefault="00275C84" w:rsidP="0031743D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31743D" w:rsidRPr="0064462B" w:rsidTr="00BB2FDE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31743D" w:rsidRPr="0064462B" w:rsidRDefault="0031743D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31743D" w:rsidRPr="0064462B" w:rsidRDefault="0031743D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  <w:vAlign w:val="center"/>
          </w:tcPr>
          <w:p w:rsidR="0031743D" w:rsidRPr="0031743D" w:rsidRDefault="0031743D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1743D">
              <w:rPr>
                <w:color w:val="000000"/>
                <w:sz w:val="24"/>
                <w:szCs w:val="24"/>
              </w:rPr>
              <w:t xml:space="preserve"> </w:t>
            </w:r>
            <w:r w:rsidR="004F4F6E"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581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90" w:type="dxa"/>
          </w:tcPr>
          <w:p w:rsidR="0031743D" w:rsidRPr="0031743D" w:rsidRDefault="0031743D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31743D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FA49B2" w:rsidRDefault="00FA49B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75C84" w:rsidRDefault="00275C84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75C84" w:rsidRDefault="00275C84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75C84" w:rsidRDefault="00275C84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75C84" w:rsidRDefault="00275C84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275C84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275C84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31743D" w:rsidRPr="0064462B" w:rsidTr="00BB2FDE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31743D" w:rsidRPr="0031743D" w:rsidRDefault="00275C84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984" w:type="dxa"/>
            <w:vAlign w:val="center"/>
          </w:tcPr>
          <w:p w:rsidR="0031743D" w:rsidRPr="0031743D" w:rsidRDefault="00BB2FDE" w:rsidP="00BB2FD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72AE">
              <w:rPr>
                <w:color w:val="000000"/>
                <w:sz w:val="24"/>
                <w:szCs w:val="24"/>
              </w:rPr>
              <w:t xml:space="preserve"> </w:t>
            </w:r>
            <w:r w:rsidR="00275C84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31743D" w:rsidRPr="0064462B" w:rsidTr="00BB2FDE">
        <w:trPr>
          <w:trHeight w:val="1420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31743D" w:rsidRPr="0031743D" w:rsidRDefault="002C72AE" w:rsidP="00BB2FD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75C84">
              <w:rPr>
                <w:color w:val="000000"/>
                <w:sz w:val="24"/>
                <w:szCs w:val="24"/>
              </w:rPr>
              <w:t>4 125,2</w:t>
            </w:r>
          </w:p>
        </w:tc>
        <w:tc>
          <w:tcPr>
            <w:tcW w:w="1984" w:type="dxa"/>
            <w:vAlign w:val="center"/>
          </w:tcPr>
          <w:p w:rsidR="0031743D" w:rsidRPr="0031743D" w:rsidRDefault="002C72AE" w:rsidP="0031743D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275C84">
              <w:rPr>
                <w:color w:val="000000"/>
                <w:sz w:val="24"/>
                <w:szCs w:val="24"/>
              </w:rPr>
              <w:t>4 157,1</w:t>
            </w:r>
          </w:p>
        </w:tc>
      </w:tr>
      <w:tr w:rsidR="0031743D" w:rsidRPr="0064462B" w:rsidTr="00BB2FDE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31743D" w:rsidRPr="0064462B" w:rsidRDefault="0031743D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4 355,1</w:t>
            </w:r>
          </w:p>
        </w:tc>
        <w:tc>
          <w:tcPr>
            <w:tcW w:w="1984" w:type="dxa"/>
            <w:vAlign w:val="center"/>
          </w:tcPr>
          <w:p w:rsidR="0031743D" w:rsidRPr="0031743D" w:rsidRDefault="00275C84" w:rsidP="0031743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4 144,8</w:t>
            </w:r>
          </w:p>
        </w:tc>
      </w:tr>
      <w:tr w:rsidR="0031743D" w:rsidRPr="0064462B" w:rsidTr="00BB2FDE">
        <w:trPr>
          <w:trHeight w:val="482"/>
        </w:trPr>
        <w:tc>
          <w:tcPr>
            <w:cnfStyle w:val="001000000000"/>
            <w:tcW w:w="3168" w:type="dxa"/>
          </w:tcPr>
          <w:p w:rsidR="0031743D" w:rsidRPr="0064462B" w:rsidRDefault="0031743D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31743D" w:rsidRPr="0064462B" w:rsidRDefault="0031743D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1743D" w:rsidRPr="0031743D" w:rsidRDefault="00275C84" w:rsidP="00BB2FD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229,9</w:t>
            </w:r>
          </w:p>
        </w:tc>
        <w:tc>
          <w:tcPr>
            <w:tcW w:w="1984" w:type="dxa"/>
            <w:vAlign w:val="center"/>
          </w:tcPr>
          <w:p w:rsidR="0031743D" w:rsidRPr="0031743D" w:rsidRDefault="00BB2FDE" w:rsidP="00BB2FD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="002C72AE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="00275C84">
              <w:rPr>
                <w:b/>
                <w:color w:val="000000"/>
                <w:sz w:val="24"/>
                <w:szCs w:val="24"/>
              </w:rPr>
              <w:t>2,3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846D22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613"/>
        <w:gridCol w:w="1559"/>
        <w:gridCol w:w="1405"/>
        <w:gridCol w:w="13"/>
        <w:gridCol w:w="1392"/>
      </w:tblGrid>
      <w:tr w:rsidR="00F4707C" w:rsidRPr="0064462B" w:rsidTr="00A550BD">
        <w:trPr>
          <w:cnfStyle w:val="100000000000"/>
          <w:trHeight w:val="1030"/>
        </w:trPr>
        <w:tc>
          <w:tcPr>
            <w:cnfStyle w:val="001000000000"/>
            <w:tcW w:w="10856" w:type="dxa"/>
            <w:gridSpan w:val="6"/>
            <w:hideMark/>
          </w:tcPr>
          <w:p w:rsidR="00F4707C" w:rsidRDefault="00F4707C" w:rsidP="00F4707C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F4707C" w:rsidRPr="0064462B" w:rsidRDefault="00F4707C" w:rsidP="00F4707C">
            <w:pPr>
              <w:jc w:val="center"/>
              <w:rPr>
                <w:i/>
                <w:sz w:val="24"/>
                <w:szCs w:val="24"/>
              </w:rPr>
            </w:pPr>
            <w:r w:rsidRPr="0031743D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Старобурасского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31743D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A550BD" w:rsidRPr="0064462B" w:rsidTr="00A550BD">
        <w:trPr>
          <w:cnfStyle w:val="000000100000"/>
          <w:trHeight w:val="940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A550BD" w:rsidRDefault="00A550BD" w:rsidP="00F4707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A550BD" w:rsidRDefault="00A550BD" w:rsidP="00F4707C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A550BD" w:rsidRPr="00A550BD" w:rsidRDefault="00A550BD" w:rsidP="00A550BD">
            <w:pPr>
              <w:jc w:val="center"/>
              <w:cnfStyle w:val="0000001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50BD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A550BD" w:rsidRPr="0064462B" w:rsidTr="00A550BD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D02A94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A550BD" w:rsidRPr="00DC086B" w:rsidRDefault="00A550BD" w:rsidP="00293E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A550BD" w:rsidRPr="0064462B" w:rsidTr="00A550BD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874448" w:rsidRDefault="00A550BD" w:rsidP="00293E8C">
            <w:pPr>
              <w:rPr>
                <w:b w:val="0"/>
                <w:i/>
                <w:color w:val="000000"/>
                <w:sz w:val="24"/>
                <w:szCs w:val="24"/>
                <w:highlight w:val="yellow"/>
              </w:rPr>
            </w:pPr>
          </w:p>
          <w:p w:rsidR="00A550BD" w:rsidRPr="00874448" w:rsidRDefault="00A550BD" w:rsidP="00A550BD">
            <w:pPr>
              <w:rPr>
                <w:b w:val="0"/>
                <w:i/>
                <w:color w:val="000000"/>
                <w:sz w:val="24"/>
                <w:szCs w:val="24"/>
                <w:highlight w:val="yellow"/>
              </w:rPr>
            </w:pPr>
            <w:r w:rsidRPr="004E06A2"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 w:rsidRPr="004E06A2">
              <w:rPr>
                <w:b w:val="0"/>
                <w:i/>
                <w:color w:val="000000"/>
                <w:sz w:val="24"/>
                <w:szCs w:val="24"/>
              </w:rPr>
              <w:t>Старобурасского</w:t>
            </w:r>
            <w:proofErr w:type="spellEnd"/>
            <w:r w:rsidRPr="004E06A2"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874448" w:rsidRPr="004E06A2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B26ECC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874448" w:rsidRPr="00B26ECC" w:rsidRDefault="004E06A2" w:rsidP="00B26ECC">
            <w:pPr>
              <w:jc w:val="center"/>
              <w:cnfStyle w:val="000000100000"/>
              <w:rPr>
                <w:i/>
              </w:rPr>
            </w:pPr>
            <w:r w:rsidRPr="00B26ECC">
              <w:rPr>
                <w:i/>
              </w:rPr>
              <w:t>1</w:t>
            </w:r>
            <w:r w:rsidR="00B26ECC" w:rsidRPr="00B26ECC">
              <w:rPr>
                <w:i/>
              </w:rPr>
              <w:t>30,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B26ECC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874448" w:rsidRPr="00B26ECC" w:rsidRDefault="004E06A2" w:rsidP="00FE3A3E">
            <w:pPr>
              <w:jc w:val="center"/>
              <w:cnfStyle w:val="000000100000"/>
              <w:rPr>
                <w:i/>
              </w:rPr>
            </w:pPr>
            <w:r w:rsidRPr="00B26ECC">
              <w:rPr>
                <w:i/>
              </w:rPr>
              <w:t>1</w:t>
            </w:r>
            <w:r w:rsidR="00B26ECC" w:rsidRPr="00B26ECC">
              <w:rPr>
                <w:i/>
              </w:rPr>
              <w:t>30,0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  <w:r w:rsidRPr="004E06A2">
              <w:rPr>
                <w:i/>
              </w:rPr>
              <w:t>1</w:t>
            </w:r>
            <w:r w:rsidR="00846D22">
              <w:rPr>
                <w:i/>
              </w:rPr>
              <w:t>23,6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</w:p>
          <w:p w:rsidR="00A550BD" w:rsidRPr="004E06A2" w:rsidRDefault="00A550BD" w:rsidP="00FE3A3E">
            <w:pPr>
              <w:jc w:val="center"/>
              <w:cnfStyle w:val="000000100000"/>
              <w:rPr>
                <w:i/>
              </w:rPr>
            </w:pPr>
            <w:r w:rsidRPr="004E06A2">
              <w:rPr>
                <w:i/>
              </w:rPr>
              <w:t>1</w:t>
            </w:r>
            <w:r w:rsidR="00846D22">
              <w:rPr>
                <w:i/>
              </w:rPr>
              <w:t>23,6</w:t>
            </w:r>
          </w:p>
        </w:tc>
      </w:tr>
      <w:tr w:rsidR="00A550BD" w:rsidRPr="0064462B" w:rsidTr="00A550BD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Default="00A550BD" w:rsidP="00A550BD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Старобурасского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 w:rsidR="00874448">
              <w:rPr>
                <w:b w:val="0"/>
                <w:i/>
                <w:color w:val="000000"/>
              </w:rPr>
              <w:t>км</w:t>
            </w:r>
            <w:proofErr w:type="gramEnd"/>
            <w:r w:rsidR="00874448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B26ECC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874448" w:rsidRPr="00B26ECC" w:rsidRDefault="00874448" w:rsidP="00FE3A3E">
            <w:pPr>
              <w:jc w:val="center"/>
              <w:cnfStyle w:val="000000000000"/>
              <w:rPr>
                <w:i/>
              </w:rPr>
            </w:pPr>
            <w:r w:rsidRPr="00B26ECC">
              <w:rPr>
                <w:i/>
              </w:rPr>
              <w:t>10,7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B26ECC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874448" w:rsidRPr="00B26ECC" w:rsidRDefault="00874448" w:rsidP="00FE3A3E">
            <w:pPr>
              <w:jc w:val="center"/>
              <w:cnfStyle w:val="000000000000"/>
              <w:rPr>
                <w:i/>
              </w:rPr>
            </w:pPr>
            <w:r w:rsidRPr="00B26ECC">
              <w:rPr>
                <w:i/>
              </w:rPr>
              <w:t>10,7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337,2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A550BD" w:rsidRDefault="00A550BD" w:rsidP="00FE3A3E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A550BD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337,2</w:t>
            </w:r>
          </w:p>
        </w:tc>
      </w:tr>
      <w:tr w:rsidR="00A550BD" w:rsidRPr="0064462B" w:rsidTr="00A550BD">
        <w:trPr>
          <w:cnfStyle w:val="000000100000"/>
          <w:trHeight w:val="1000"/>
        </w:trPr>
        <w:tc>
          <w:tcPr>
            <w:cnfStyle w:val="001000000000"/>
            <w:tcW w:w="10856" w:type="dxa"/>
            <w:gridSpan w:val="6"/>
            <w:hideMark/>
          </w:tcPr>
          <w:p w:rsidR="00A550BD" w:rsidRDefault="00A550BD" w:rsidP="00F4707C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A550BD" w:rsidRPr="0064462B" w:rsidRDefault="00A550BD" w:rsidP="00F4707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743D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Старобурасского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1743D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31743D">
              <w:rPr>
                <w:i/>
                <w:color w:val="FFFFFF"/>
                <w:sz w:val="24"/>
                <w:szCs w:val="24"/>
              </w:rPr>
              <w:t xml:space="preserve"> муни</w:t>
            </w:r>
            <w:r>
              <w:rPr>
                <w:i/>
                <w:color w:val="FFFFFF"/>
                <w:sz w:val="24"/>
                <w:szCs w:val="24"/>
              </w:rPr>
              <w:t>ципального района</w:t>
            </w:r>
            <w:r w:rsidRPr="0031743D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A550BD" w:rsidRPr="0064462B" w:rsidTr="00A550BD">
        <w:trPr>
          <w:trHeight w:val="1000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A550BD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A550BD" w:rsidRDefault="00A550BD" w:rsidP="00293E8C">
            <w:pPr>
              <w:jc w:val="center"/>
              <w:rPr>
                <w:i/>
                <w:color w:val="FFFFFF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A550BD" w:rsidRPr="00A550BD" w:rsidRDefault="00A550BD" w:rsidP="00293E8C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50BD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A550BD" w:rsidRPr="0064462B" w:rsidTr="00A550BD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D02A94" w:rsidRDefault="00A550BD" w:rsidP="00293E8C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A550BD" w:rsidRPr="00DC086B" w:rsidRDefault="00A550BD" w:rsidP="00293E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550BD" w:rsidRPr="007B552D" w:rsidRDefault="00A550BD" w:rsidP="00293E8C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A550BD" w:rsidRPr="0064462B" w:rsidTr="00A550BD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A550BD" w:rsidRPr="00B168EB" w:rsidRDefault="00B168EB" w:rsidP="00A550BD">
            <w:pPr>
              <w:rPr>
                <w:b w:val="0"/>
                <w:i/>
                <w:color w:val="auto"/>
                <w:sz w:val="24"/>
                <w:szCs w:val="24"/>
                <w:highlight w:val="yellow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>А</w:t>
            </w:r>
            <w:r w:rsidRPr="00B168EB">
              <w:rPr>
                <w:b w:val="0"/>
                <w:i/>
                <w:color w:val="auto"/>
                <w:sz w:val="24"/>
                <w:szCs w:val="24"/>
              </w:rPr>
              <w:t>ктивизация работ по благоустройству и санитарной очистке населенных пунктов в муниципальном образовании</w:t>
            </w:r>
            <w:r>
              <w:rPr>
                <w:b w:val="0"/>
                <w:i/>
                <w:color w:val="auto"/>
                <w:sz w:val="24"/>
                <w:szCs w:val="24"/>
              </w:rPr>
              <w:t>, %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A550BD" w:rsidRPr="00B168EB" w:rsidRDefault="00A550BD" w:rsidP="00B168EB">
            <w:pPr>
              <w:jc w:val="center"/>
              <w:cnfStyle w:val="000000000000"/>
              <w:rPr>
                <w:i/>
              </w:rPr>
            </w:pPr>
          </w:p>
          <w:p w:rsidR="00A550BD" w:rsidRPr="00B168EB" w:rsidRDefault="00A550BD" w:rsidP="00B168EB">
            <w:pPr>
              <w:jc w:val="center"/>
              <w:cnfStyle w:val="000000000000"/>
              <w:rPr>
                <w:i/>
              </w:rPr>
            </w:pPr>
            <w:r w:rsidRPr="00B168EB"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A550BD" w:rsidRPr="00B168EB" w:rsidRDefault="00A550BD" w:rsidP="00B168EB">
            <w:pPr>
              <w:jc w:val="center"/>
              <w:cnfStyle w:val="000000000000"/>
              <w:rPr>
                <w:i/>
              </w:rPr>
            </w:pPr>
          </w:p>
          <w:p w:rsidR="00A550BD" w:rsidRPr="00B168EB" w:rsidRDefault="00B168EB" w:rsidP="00B168EB">
            <w:pPr>
              <w:jc w:val="center"/>
              <w:cnfStyle w:val="000000000000"/>
              <w:rPr>
                <w:i/>
              </w:rPr>
            </w:pPr>
            <w:r w:rsidRPr="00B168EB">
              <w:rPr>
                <w:i/>
              </w:rPr>
              <w:t>99,8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A550BD" w:rsidRDefault="00A550BD" w:rsidP="00B168EB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846D22" w:rsidP="00B168EB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166,9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A550BD" w:rsidRDefault="00A550BD" w:rsidP="00B168EB">
            <w:pPr>
              <w:jc w:val="center"/>
              <w:cnfStyle w:val="000000000000"/>
              <w:rPr>
                <w:i/>
              </w:rPr>
            </w:pPr>
          </w:p>
          <w:p w:rsidR="00A550BD" w:rsidRPr="0028230A" w:rsidRDefault="00846D22" w:rsidP="00B168EB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166,6</w:t>
            </w:r>
          </w:p>
        </w:tc>
      </w:tr>
      <w:tr w:rsidR="00846D22" w:rsidRPr="0064462B" w:rsidTr="005726F5">
        <w:trPr>
          <w:cnfStyle w:val="000000100000"/>
          <w:trHeight w:val="607"/>
        </w:trPr>
        <w:tc>
          <w:tcPr>
            <w:cnfStyle w:val="001000000000"/>
            <w:tcW w:w="10856" w:type="dxa"/>
            <w:gridSpan w:val="6"/>
            <w:hideMark/>
          </w:tcPr>
          <w:p w:rsidR="005726F5" w:rsidRDefault="005726F5" w:rsidP="00846D22">
            <w:pPr>
              <w:jc w:val="center"/>
              <w:rPr>
                <w:i/>
                <w:sz w:val="24"/>
                <w:szCs w:val="24"/>
              </w:rPr>
            </w:pPr>
          </w:p>
          <w:p w:rsidR="00846D22" w:rsidRPr="00846D22" w:rsidRDefault="00846D22" w:rsidP="00846D22">
            <w:pPr>
              <w:jc w:val="center"/>
              <w:rPr>
                <w:i/>
                <w:sz w:val="24"/>
                <w:szCs w:val="24"/>
              </w:rPr>
            </w:pPr>
            <w:r w:rsidRPr="00846D22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846D22">
              <w:rPr>
                <w:i/>
                <w:sz w:val="24"/>
                <w:szCs w:val="24"/>
              </w:rPr>
              <w:t>Старобурасского</w:t>
            </w:r>
            <w:proofErr w:type="spellEnd"/>
            <w:r w:rsidRPr="00846D22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46D22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846D22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846D22" w:rsidRPr="00846D22" w:rsidRDefault="00846D22" w:rsidP="00FE3A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46D22" w:rsidRPr="0064462B" w:rsidTr="0074075A">
        <w:trPr>
          <w:trHeight w:val="607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46D22" w:rsidRPr="00B71493" w:rsidRDefault="00846D22" w:rsidP="0074075A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</w:p>
          <w:p w:rsidR="00846D22" w:rsidRPr="00B71493" w:rsidRDefault="00846D22" w:rsidP="0074075A">
            <w:pPr>
              <w:jc w:val="center"/>
              <w:rPr>
                <w:i/>
                <w:color w:val="FFFFFF"/>
              </w:rPr>
            </w:pPr>
            <w:r w:rsidRPr="00B168EB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</w:tc>
        <w:tc>
          <w:tcPr>
            <w:tcW w:w="2810" w:type="dxa"/>
            <w:gridSpan w:val="3"/>
            <w:shd w:val="clear" w:color="auto" w:fill="8DB3E2" w:themeFill="text2" w:themeFillTint="66"/>
            <w:hideMark/>
          </w:tcPr>
          <w:p w:rsidR="00846D22" w:rsidRDefault="00846D22" w:rsidP="0074075A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  <w:p w:rsidR="00846D22" w:rsidRDefault="00846D22" w:rsidP="0074075A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46D22" w:rsidRPr="00A550BD" w:rsidRDefault="00846D22" w:rsidP="0074075A">
            <w:pPr>
              <w:jc w:val="center"/>
              <w:cnfStyle w:val="000000000000"/>
              <w:rPr>
                <w:b/>
                <w:bCs/>
                <w:i/>
                <w:color w:val="FFFFFF"/>
                <w:sz w:val="20"/>
                <w:szCs w:val="20"/>
              </w:rPr>
            </w:pPr>
            <w:r w:rsidRPr="00A550BD">
              <w:rPr>
                <w:b/>
                <w:bCs/>
                <w:i/>
                <w:color w:val="000000"/>
                <w:sz w:val="20"/>
                <w:szCs w:val="20"/>
              </w:rPr>
              <w:t>(тыс. руб.)</w:t>
            </w:r>
          </w:p>
        </w:tc>
      </w:tr>
      <w:tr w:rsidR="00846D22" w:rsidRPr="0064462B" w:rsidTr="00A550BD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46D22" w:rsidRPr="00D02A94" w:rsidRDefault="00846D22" w:rsidP="0074075A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46D22" w:rsidRPr="00DC086B" w:rsidRDefault="00846D22" w:rsidP="0074075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BE5F1" w:themeFill="accent1" w:themeFillTint="33"/>
          </w:tcPr>
          <w:p w:rsidR="00846D22" w:rsidRPr="00B71493" w:rsidRDefault="00846D22" w:rsidP="0074075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 w:rsidRPr="00B71493">
              <w:rPr>
                <w:b/>
                <w:bCs/>
                <w:i/>
                <w:color w:val="000000"/>
              </w:rPr>
              <w:t>План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46D22" w:rsidRPr="00B71493" w:rsidRDefault="00846D22" w:rsidP="0074075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 w:rsidRPr="00B71493">
              <w:rPr>
                <w:b/>
                <w:bCs/>
                <w:i/>
                <w:color w:val="000000"/>
              </w:rPr>
              <w:t>Факт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46D22" w:rsidRPr="007B552D" w:rsidRDefault="00846D22" w:rsidP="0074075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46D22" w:rsidRPr="007B552D" w:rsidRDefault="00846D22" w:rsidP="0074075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46D22" w:rsidRPr="0064462B" w:rsidTr="00A550BD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46D22" w:rsidRPr="00B168EB" w:rsidRDefault="00B168EB" w:rsidP="00B168EB">
            <w:pPr>
              <w:autoSpaceDE w:val="0"/>
              <w:autoSpaceDN w:val="0"/>
              <w:adjustRightInd w:val="0"/>
              <w:ind w:right="141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О</w:t>
            </w:r>
            <w:r w:rsidRPr="00B168EB">
              <w:rPr>
                <w:b w:val="0"/>
                <w:i/>
                <w:noProof/>
                <w:color w:val="auto"/>
                <w:sz w:val="24"/>
                <w:szCs w:val="24"/>
              </w:rPr>
              <w:t>пт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 xml:space="preserve">имизация системы защиты жизни и </w:t>
            </w:r>
            <w:r w:rsidRPr="00B168EB">
              <w:rPr>
                <w:b w:val="0"/>
                <w:i/>
                <w:noProof/>
                <w:color w:val="auto"/>
                <w:sz w:val="24"/>
                <w:szCs w:val="24"/>
              </w:rPr>
              <w:t>здоровья населения района от пожаров и их последствий путем качественного материального обеспечения полномочия по обеспечению перв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ичных мер пожарной безопасности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, </w:t>
            </w:r>
            <w:r w:rsidRPr="00B168EB">
              <w:rPr>
                <w:b w:val="0"/>
                <w:i/>
                <w:noProof/>
                <w:color w:val="auto"/>
                <w:sz w:val="24"/>
                <w:szCs w:val="24"/>
              </w:rPr>
              <w:t>повышение эффективности проводимой противопожарно</w:t>
            </w:r>
            <w:r w:rsidR="00314F08">
              <w:rPr>
                <w:b w:val="0"/>
                <w:i/>
                <w:noProof/>
                <w:color w:val="auto"/>
                <w:sz w:val="24"/>
                <w:szCs w:val="24"/>
              </w:rPr>
              <w:t>й пропаганды с населением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, %</w:t>
            </w:r>
          </w:p>
        </w:tc>
        <w:tc>
          <w:tcPr>
            <w:tcW w:w="1613" w:type="dxa"/>
            <w:shd w:val="clear" w:color="auto" w:fill="DBE5F1" w:themeFill="accent1" w:themeFillTint="33"/>
          </w:tcPr>
          <w:p w:rsidR="00846D22" w:rsidRPr="00B71493" w:rsidRDefault="00B71493" w:rsidP="00FE3A3E">
            <w:pPr>
              <w:jc w:val="center"/>
              <w:cnfStyle w:val="000000000000"/>
              <w:rPr>
                <w:i/>
              </w:rPr>
            </w:pPr>
            <w:r w:rsidRPr="00B71493">
              <w:rPr>
                <w:i/>
              </w:rPr>
              <w:t>100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46D22" w:rsidRPr="00B71493" w:rsidRDefault="00B71493" w:rsidP="00FE3A3E">
            <w:pPr>
              <w:jc w:val="center"/>
              <w:cnfStyle w:val="000000000000"/>
              <w:rPr>
                <w:i/>
              </w:rPr>
            </w:pPr>
            <w:r w:rsidRPr="00B71493">
              <w:rPr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46D22" w:rsidRDefault="00846D2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46D22" w:rsidRDefault="00846D22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8C13C2" w:rsidRDefault="008C13C2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lastRenderedPageBreak/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27B1"/>
    <w:rsid w:val="00016AFD"/>
    <w:rsid w:val="0004351D"/>
    <w:rsid w:val="00044A6E"/>
    <w:rsid w:val="000540F0"/>
    <w:rsid w:val="00056307"/>
    <w:rsid w:val="00072092"/>
    <w:rsid w:val="000721A5"/>
    <w:rsid w:val="00076CCD"/>
    <w:rsid w:val="00081341"/>
    <w:rsid w:val="000854F6"/>
    <w:rsid w:val="000A1E86"/>
    <w:rsid w:val="000A2515"/>
    <w:rsid w:val="000C3D2E"/>
    <w:rsid w:val="000D4D1A"/>
    <w:rsid w:val="000D5034"/>
    <w:rsid w:val="000F2212"/>
    <w:rsid w:val="000F336E"/>
    <w:rsid w:val="00102C3B"/>
    <w:rsid w:val="001174E7"/>
    <w:rsid w:val="00131007"/>
    <w:rsid w:val="001453AE"/>
    <w:rsid w:val="0016164F"/>
    <w:rsid w:val="0016491C"/>
    <w:rsid w:val="001739A2"/>
    <w:rsid w:val="00183C72"/>
    <w:rsid w:val="00187BF5"/>
    <w:rsid w:val="001906E2"/>
    <w:rsid w:val="001B5383"/>
    <w:rsid w:val="001C1EE3"/>
    <w:rsid w:val="001C5E40"/>
    <w:rsid w:val="001D2034"/>
    <w:rsid w:val="001E3CC1"/>
    <w:rsid w:val="001F044D"/>
    <w:rsid w:val="0022525A"/>
    <w:rsid w:val="00237CDD"/>
    <w:rsid w:val="002614FF"/>
    <w:rsid w:val="00270BF8"/>
    <w:rsid w:val="00275C84"/>
    <w:rsid w:val="0028230A"/>
    <w:rsid w:val="00293E8C"/>
    <w:rsid w:val="002C72AE"/>
    <w:rsid w:val="003063E0"/>
    <w:rsid w:val="00314F08"/>
    <w:rsid w:val="0031743D"/>
    <w:rsid w:val="003211A1"/>
    <w:rsid w:val="003522FB"/>
    <w:rsid w:val="0035571E"/>
    <w:rsid w:val="00366682"/>
    <w:rsid w:val="00366B52"/>
    <w:rsid w:val="003809CA"/>
    <w:rsid w:val="00383C7B"/>
    <w:rsid w:val="00392ADD"/>
    <w:rsid w:val="00394390"/>
    <w:rsid w:val="0039521B"/>
    <w:rsid w:val="003B1F50"/>
    <w:rsid w:val="003C1F80"/>
    <w:rsid w:val="0044380E"/>
    <w:rsid w:val="00445B06"/>
    <w:rsid w:val="00446D97"/>
    <w:rsid w:val="00450B6D"/>
    <w:rsid w:val="00462D2A"/>
    <w:rsid w:val="00463D2F"/>
    <w:rsid w:val="00475114"/>
    <w:rsid w:val="00497749"/>
    <w:rsid w:val="004B23CD"/>
    <w:rsid w:val="004D5811"/>
    <w:rsid w:val="004E06A2"/>
    <w:rsid w:val="004E58BE"/>
    <w:rsid w:val="004E6AED"/>
    <w:rsid w:val="004F4F6E"/>
    <w:rsid w:val="004F5CA7"/>
    <w:rsid w:val="004F5FD8"/>
    <w:rsid w:val="00533C49"/>
    <w:rsid w:val="00562323"/>
    <w:rsid w:val="005726F5"/>
    <w:rsid w:val="0058747C"/>
    <w:rsid w:val="00597F89"/>
    <w:rsid w:val="005B1B00"/>
    <w:rsid w:val="005B3536"/>
    <w:rsid w:val="005B4B3D"/>
    <w:rsid w:val="005C594F"/>
    <w:rsid w:val="005E02E1"/>
    <w:rsid w:val="005F3320"/>
    <w:rsid w:val="00600C34"/>
    <w:rsid w:val="00615E68"/>
    <w:rsid w:val="0062279A"/>
    <w:rsid w:val="00623AEB"/>
    <w:rsid w:val="00625EB2"/>
    <w:rsid w:val="0062727A"/>
    <w:rsid w:val="006272E3"/>
    <w:rsid w:val="00632353"/>
    <w:rsid w:val="00636E83"/>
    <w:rsid w:val="00642EDF"/>
    <w:rsid w:val="0064462B"/>
    <w:rsid w:val="00675853"/>
    <w:rsid w:val="00677B5C"/>
    <w:rsid w:val="006A1649"/>
    <w:rsid w:val="006A1E07"/>
    <w:rsid w:val="006A3376"/>
    <w:rsid w:val="006C09DB"/>
    <w:rsid w:val="006C4283"/>
    <w:rsid w:val="006E539B"/>
    <w:rsid w:val="006F4814"/>
    <w:rsid w:val="0074075A"/>
    <w:rsid w:val="00746CD1"/>
    <w:rsid w:val="007545F6"/>
    <w:rsid w:val="00763E72"/>
    <w:rsid w:val="007776DC"/>
    <w:rsid w:val="007A18FF"/>
    <w:rsid w:val="007E6F63"/>
    <w:rsid w:val="00811124"/>
    <w:rsid w:val="00824E76"/>
    <w:rsid w:val="008450D9"/>
    <w:rsid w:val="00846D22"/>
    <w:rsid w:val="00874448"/>
    <w:rsid w:val="008861E2"/>
    <w:rsid w:val="00893506"/>
    <w:rsid w:val="008C13C2"/>
    <w:rsid w:val="008C66D3"/>
    <w:rsid w:val="008D5195"/>
    <w:rsid w:val="00900E3F"/>
    <w:rsid w:val="0092343C"/>
    <w:rsid w:val="009258AB"/>
    <w:rsid w:val="00946619"/>
    <w:rsid w:val="00950D47"/>
    <w:rsid w:val="0095380B"/>
    <w:rsid w:val="00965FF2"/>
    <w:rsid w:val="009671E3"/>
    <w:rsid w:val="00974AB2"/>
    <w:rsid w:val="009803AC"/>
    <w:rsid w:val="009A3AA6"/>
    <w:rsid w:val="009E622D"/>
    <w:rsid w:val="009F6FE2"/>
    <w:rsid w:val="00A454C4"/>
    <w:rsid w:val="00A5144B"/>
    <w:rsid w:val="00A550BD"/>
    <w:rsid w:val="00A56764"/>
    <w:rsid w:val="00A62774"/>
    <w:rsid w:val="00A639D1"/>
    <w:rsid w:val="00A647D1"/>
    <w:rsid w:val="00A70173"/>
    <w:rsid w:val="00A70343"/>
    <w:rsid w:val="00A727D0"/>
    <w:rsid w:val="00A72CAF"/>
    <w:rsid w:val="00A76A20"/>
    <w:rsid w:val="00A933AB"/>
    <w:rsid w:val="00A94EC9"/>
    <w:rsid w:val="00AB0E26"/>
    <w:rsid w:val="00AC59A3"/>
    <w:rsid w:val="00B10B96"/>
    <w:rsid w:val="00B168EB"/>
    <w:rsid w:val="00B26ECC"/>
    <w:rsid w:val="00B41AE4"/>
    <w:rsid w:val="00B56678"/>
    <w:rsid w:val="00B60F84"/>
    <w:rsid w:val="00B616DC"/>
    <w:rsid w:val="00B71493"/>
    <w:rsid w:val="00B94859"/>
    <w:rsid w:val="00BB2FDE"/>
    <w:rsid w:val="00BB330C"/>
    <w:rsid w:val="00BD049A"/>
    <w:rsid w:val="00BD3C1B"/>
    <w:rsid w:val="00C36E86"/>
    <w:rsid w:val="00C42B58"/>
    <w:rsid w:val="00C50819"/>
    <w:rsid w:val="00C73887"/>
    <w:rsid w:val="00C76DFD"/>
    <w:rsid w:val="00C82C53"/>
    <w:rsid w:val="00C83A64"/>
    <w:rsid w:val="00C84F23"/>
    <w:rsid w:val="00CA4462"/>
    <w:rsid w:val="00CA68B5"/>
    <w:rsid w:val="00CB1D91"/>
    <w:rsid w:val="00CD7967"/>
    <w:rsid w:val="00CD7B13"/>
    <w:rsid w:val="00CE5B5F"/>
    <w:rsid w:val="00CF2D86"/>
    <w:rsid w:val="00D26306"/>
    <w:rsid w:val="00D274D3"/>
    <w:rsid w:val="00D3557C"/>
    <w:rsid w:val="00D46C7F"/>
    <w:rsid w:val="00D53865"/>
    <w:rsid w:val="00DC74B8"/>
    <w:rsid w:val="00DE2B26"/>
    <w:rsid w:val="00E0448B"/>
    <w:rsid w:val="00E120B5"/>
    <w:rsid w:val="00E13FD3"/>
    <w:rsid w:val="00E233FE"/>
    <w:rsid w:val="00E422F7"/>
    <w:rsid w:val="00E52391"/>
    <w:rsid w:val="00E854EA"/>
    <w:rsid w:val="00E913E3"/>
    <w:rsid w:val="00EA08D6"/>
    <w:rsid w:val="00EA77ED"/>
    <w:rsid w:val="00EC2BF0"/>
    <w:rsid w:val="00F0337A"/>
    <w:rsid w:val="00F11144"/>
    <w:rsid w:val="00F408B7"/>
    <w:rsid w:val="00F44226"/>
    <w:rsid w:val="00F4707C"/>
    <w:rsid w:val="00F51E2B"/>
    <w:rsid w:val="00F54732"/>
    <w:rsid w:val="00F63FDC"/>
    <w:rsid w:val="00F672AB"/>
    <w:rsid w:val="00F7287D"/>
    <w:rsid w:val="00FA49B2"/>
    <w:rsid w:val="00FB1727"/>
    <w:rsid w:val="00FB2543"/>
    <w:rsid w:val="00FD1B3E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Средняя заливка 1 - Акцент 12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7407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19974"/>
          <c:h val="0.87500040468510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58E-2"/>
                  <c:y val="6.743295019157141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441311456180173E-2"/>
                  <c:y val="5.203252032520389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4620888869338434E-2"/>
                  <c:y val="4.57041162537609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22337570932242E-2"/>
                  <c:y val="-8.4371295051533207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0053079957184434E-2"/>
                  <c:y val="-6.769118494334619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3982609715684979E-2"/>
                  <c:y val="3.82426221112606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Субсидии</c:v>
                </c:pt>
                <c:pt idx="7">
                  <c:v>Субвенция</c:v>
                </c:pt>
                <c:pt idx="8">
                  <c:v>Иные межбюджетные трансферты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171.5</c:v>
                </c:pt>
                <c:pt idx="1">
                  <c:v>0.9</c:v>
                </c:pt>
                <c:pt idx="2">
                  <c:v>105.2</c:v>
                </c:pt>
                <c:pt idx="4">
                  <c:v>961.7</c:v>
                </c:pt>
                <c:pt idx="5">
                  <c:v>810.7</c:v>
                </c:pt>
                <c:pt idx="6">
                  <c:v>933.5</c:v>
                </c:pt>
                <c:pt idx="7">
                  <c:v>90.9</c:v>
                </c:pt>
                <c:pt idx="8">
                  <c:v>975.7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482"/>
          <c:y val="1.5998011261808259E-2"/>
          <c:w val="0.32868619774484187"/>
          <c:h val="0.9840020485244223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19974"/>
          <c:h val="0.875000404685105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3.7027229138257158E-2"/>
                  <c:y val="-8.3304058382465879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184122934353879E-2"/>
                  <c:y val="3.2364054281322475E-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21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#,##0.00">
                  <c:v>1798.7</c:v>
                </c:pt>
                <c:pt idx="1">
                  <c:v>90.9</c:v>
                </c:pt>
                <c:pt idx="2">
                  <c:v>460.8</c:v>
                </c:pt>
                <c:pt idx="3">
                  <c:v>166.6</c:v>
                </c:pt>
                <c:pt idx="4">
                  <c:v>1564.6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482"/>
          <c:y val="1.5998011261808141E-2"/>
          <c:w val="0.32868619774484187"/>
          <c:h val="0.935625238475156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5388F-B584-42EB-9DBF-870D3EA4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101</cp:revision>
  <cp:lastPrinted>2021-05-26T06:24:00Z</cp:lastPrinted>
  <dcterms:created xsi:type="dcterms:W3CDTF">2016-06-01T06:59:00Z</dcterms:created>
  <dcterms:modified xsi:type="dcterms:W3CDTF">2021-05-31T11:59:00Z</dcterms:modified>
</cp:coreProperties>
</file>