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1E2EDD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1E2EDD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1E2EDD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E84DED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58" style="width:752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3F5D4B" w:rsidRPr="00630732" w:rsidRDefault="003F5D4B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="00725A9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3F5D4B" w:rsidRPr="00630732" w:rsidRDefault="003F5D4B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униципального образования</w:t>
                  </w:r>
                  <w:r w:rsidR="00725A9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3F5D4B" w:rsidRPr="001B4B6F" w:rsidRDefault="003F5D4B" w:rsidP="001B4B6F"/>
              </w:txbxContent>
            </v:textbox>
            <w10:wrap type="none"/>
            <w10:anchorlock/>
          </v:roundrect>
        </w:pict>
      </w:r>
    </w:p>
    <w:p w:rsidR="001E2EDD" w:rsidRPr="001E2EDD" w:rsidRDefault="001E2EDD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D25187">
        <w:rPr>
          <w:rFonts w:ascii="PT Astra Serif" w:hAnsi="PT Astra Serif"/>
          <w:sz w:val="28"/>
        </w:rPr>
        <w:t>-экономического развития на 2024-2026</w:t>
      </w:r>
      <w:r w:rsidRPr="001E2EDD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1E2EDD" w:rsidRPr="001E2EDD" w:rsidRDefault="001E2EDD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D25187" w:rsidRPr="00EE431A" w:rsidRDefault="00D25187" w:rsidP="00D25187">
      <w:pPr>
        <w:pStyle w:val="a4"/>
        <w:shd w:val="clear" w:color="auto" w:fill="DBE5F1" w:themeFill="accent1" w:themeFillTint="33"/>
        <w:ind w:firstLine="540"/>
        <w:jc w:val="both"/>
      </w:pPr>
      <w:r w:rsidRPr="00EE431A">
        <w:rPr>
          <w:sz w:val="28"/>
        </w:rPr>
        <w:t xml:space="preserve">Объем валовой продукции сельского хозяйства в 2024 году составит </w:t>
      </w:r>
      <w:r w:rsidRPr="00EE431A">
        <w:rPr>
          <w:color w:val="000000"/>
          <w:sz w:val="28"/>
        </w:rPr>
        <w:t>810,3</w:t>
      </w:r>
      <w:r w:rsidRPr="00EE431A">
        <w:rPr>
          <w:sz w:val="28"/>
        </w:rPr>
        <w:t xml:space="preserve"> млн</w:t>
      </w:r>
      <w:proofErr w:type="gramStart"/>
      <w:r w:rsidRPr="00EE431A">
        <w:rPr>
          <w:sz w:val="28"/>
        </w:rPr>
        <w:t>.р</w:t>
      </w:r>
      <w:proofErr w:type="gramEnd"/>
      <w:r w:rsidRPr="00EE431A">
        <w:rPr>
          <w:sz w:val="28"/>
        </w:rPr>
        <w:t xml:space="preserve">уб. или </w:t>
      </w:r>
      <w:r w:rsidRPr="00EE431A">
        <w:rPr>
          <w:color w:val="000000"/>
          <w:sz w:val="28"/>
        </w:rPr>
        <w:t>105,2</w:t>
      </w:r>
      <w:r w:rsidRPr="00EE431A">
        <w:rPr>
          <w:sz w:val="28"/>
        </w:rPr>
        <w:t xml:space="preserve">% уровня 2023 года, в 2025 году — </w:t>
      </w:r>
      <w:r w:rsidRPr="00EE431A">
        <w:rPr>
          <w:color w:val="000000"/>
          <w:sz w:val="28"/>
        </w:rPr>
        <w:t>890,7</w:t>
      </w:r>
      <w:r w:rsidRPr="00EE431A">
        <w:rPr>
          <w:sz w:val="28"/>
        </w:rPr>
        <w:t xml:space="preserve"> млн.руб. </w:t>
      </w:r>
      <w:r w:rsidRPr="00EE431A">
        <w:rPr>
          <w:color w:val="000000"/>
          <w:sz w:val="28"/>
        </w:rPr>
        <w:t>и</w:t>
      </w:r>
      <w:r w:rsidRPr="00EE431A">
        <w:rPr>
          <w:sz w:val="28"/>
        </w:rPr>
        <w:t xml:space="preserve">ли </w:t>
      </w:r>
      <w:r w:rsidRPr="00EE431A">
        <w:rPr>
          <w:color w:val="000000"/>
          <w:sz w:val="28"/>
        </w:rPr>
        <w:t>109,9</w:t>
      </w:r>
      <w:r w:rsidRPr="00EE431A">
        <w:rPr>
          <w:sz w:val="28"/>
        </w:rPr>
        <w:t>% уровня 202</w:t>
      </w:r>
      <w:r w:rsidRPr="00EE431A">
        <w:rPr>
          <w:color w:val="000000"/>
          <w:sz w:val="28"/>
        </w:rPr>
        <w:t>4</w:t>
      </w:r>
      <w:r w:rsidRPr="00EE431A">
        <w:rPr>
          <w:sz w:val="28"/>
        </w:rPr>
        <w:t xml:space="preserve"> года, в 2026 году – </w:t>
      </w:r>
      <w:r w:rsidRPr="00EE431A">
        <w:rPr>
          <w:color w:val="000000"/>
          <w:sz w:val="28"/>
        </w:rPr>
        <w:t>942,1</w:t>
      </w:r>
      <w:r w:rsidRPr="00EE431A">
        <w:rPr>
          <w:sz w:val="28"/>
        </w:rPr>
        <w:t xml:space="preserve"> млн.руб.  или </w:t>
      </w:r>
      <w:r w:rsidRPr="00EE431A">
        <w:rPr>
          <w:color w:val="000000"/>
          <w:sz w:val="28"/>
        </w:rPr>
        <w:t>105,8</w:t>
      </w:r>
      <w:r w:rsidRPr="00EE431A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E633AE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E633AE">
        <w:rPr>
          <w:sz w:val="28"/>
        </w:rPr>
        <w:t xml:space="preserve">Оборот розничной торговли в 2024 году увеличится на </w:t>
      </w:r>
      <w:r w:rsidRPr="00E633AE">
        <w:rPr>
          <w:color w:val="000000"/>
          <w:sz w:val="28"/>
        </w:rPr>
        <w:t>10,4</w:t>
      </w:r>
      <w:r w:rsidRPr="00E633AE">
        <w:rPr>
          <w:sz w:val="28"/>
        </w:rPr>
        <w:t xml:space="preserve">% по сравнению с 2023 годом и составит </w:t>
      </w:r>
      <w:r w:rsidRPr="00E633AE">
        <w:rPr>
          <w:color w:val="000000"/>
          <w:sz w:val="28"/>
        </w:rPr>
        <w:t>138,7</w:t>
      </w:r>
      <w:r w:rsidRPr="00E633AE">
        <w:rPr>
          <w:sz w:val="28"/>
        </w:rPr>
        <w:t xml:space="preserve"> млн. руб., в 2025 году – </w:t>
      </w:r>
      <w:r w:rsidRPr="00E633AE">
        <w:rPr>
          <w:color w:val="000000"/>
          <w:sz w:val="28"/>
        </w:rPr>
        <w:t>149,2</w:t>
      </w:r>
      <w:r w:rsidRPr="00E633AE">
        <w:rPr>
          <w:sz w:val="28"/>
        </w:rPr>
        <w:t xml:space="preserve"> млн</w:t>
      </w:r>
      <w:proofErr w:type="gramStart"/>
      <w:r w:rsidRPr="00E633AE">
        <w:rPr>
          <w:sz w:val="28"/>
        </w:rPr>
        <w:t>.р</w:t>
      </w:r>
      <w:proofErr w:type="gramEnd"/>
      <w:r w:rsidRPr="00E633AE">
        <w:rPr>
          <w:sz w:val="28"/>
        </w:rPr>
        <w:t xml:space="preserve">уб. или </w:t>
      </w:r>
      <w:r w:rsidRPr="00E633AE">
        <w:rPr>
          <w:color w:val="000000"/>
          <w:sz w:val="28"/>
        </w:rPr>
        <w:t>107,6</w:t>
      </w:r>
      <w:r w:rsidRPr="00E633AE">
        <w:rPr>
          <w:sz w:val="28"/>
        </w:rPr>
        <w:t xml:space="preserve">% уровня 2024 года, в 2026 году – </w:t>
      </w:r>
      <w:r w:rsidRPr="00E633AE">
        <w:rPr>
          <w:color w:val="000000"/>
          <w:sz w:val="28"/>
        </w:rPr>
        <w:t>158,3</w:t>
      </w:r>
      <w:r w:rsidRPr="00E633AE">
        <w:rPr>
          <w:sz w:val="28"/>
        </w:rPr>
        <w:t xml:space="preserve"> млн.руб. или 106,1%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7A11EB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E633AE">
        <w:rPr>
          <w:sz w:val="28"/>
        </w:rPr>
        <w:t xml:space="preserve">Организациями </w:t>
      </w:r>
      <w:r w:rsidRPr="007A11EB">
        <w:rPr>
          <w:sz w:val="28"/>
        </w:rPr>
        <w:t xml:space="preserve">общественного питания в 2024 году будет реализовано продукции на </w:t>
      </w:r>
      <w:r w:rsidRPr="007A11EB">
        <w:rPr>
          <w:color w:val="000000"/>
          <w:sz w:val="28"/>
        </w:rPr>
        <w:t>3,8</w:t>
      </w:r>
      <w:r w:rsidRPr="007A11EB">
        <w:rPr>
          <w:sz w:val="28"/>
        </w:rPr>
        <w:t xml:space="preserve"> млн. руб. или </w:t>
      </w:r>
      <w:r w:rsidRPr="007A11EB">
        <w:rPr>
          <w:color w:val="000000"/>
          <w:sz w:val="28"/>
        </w:rPr>
        <w:t>107,9</w:t>
      </w:r>
      <w:r w:rsidRPr="007A11EB">
        <w:rPr>
          <w:sz w:val="28"/>
        </w:rPr>
        <w:t xml:space="preserve"> % уровня 2023 года, в 2025 году – </w:t>
      </w:r>
      <w:r w:rsidRPr="007A11EB">
        <w:rPr>
          <w:color w:val="000000"/>
          <w:sz w:val="28"/>
        </w:rPr>
        <w:t>4,1</w:t>
      </w:r>
      <w:r w:rsidRPr="007A11EB">
        <w:rPr>
          <w:sz w:val="28"/>
        </w:rPr>
        <w:t xml:space="preserve"> млн</w:t>
      </w:r>
      <w:proofErr w:type="gramStart"/>
      <w:r w:rsidRPr="007A11EB">
        <w:rPr>
          <w:sz w:val="28"/>
        </w:rPr>
        <w:t>.р</w:t>
      </w:r>
      <w:proofErr w:type="gramEnd"/>
      <w:r w:rsidRPr="007A11EB">
        <w:rPr>
          <w:sz w:val="28"/>
        </w:rPr>
        <w:t xml:space="preserve">уб. или </w:t>
      </w:r>
      <w:r w:rsidRPr="007A11EB">
        <w:rPr>
          <w:color w:val="000000"/>
          <w:sz w:val="28"/>
        </w:rPr>
        <w:t>107,3</w:t>
      </w:r>
      <w:r w:rsidRPr="007A11EB">
        <w:rPr>
          <w:sz w:val="28"/>
        </w:rPr>
        <w:t xml:space="preserve">% уровня 2024 года, в 2026 году - </w:t>
      </w:r>
      <w:r w:rsidRPr="007A11EB">
        <w:rPr>
          <w:color w:val="000000"/>
          <w:sz w:val="28"/>
        </w:rPr>
        <w:t>4,4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107,8</w:t>
      </w:r>
      <w:r w:rsidRPr="007A11EB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B04CBA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proofErr w:type="gramStart"/>
      <w:r w:rsidRPr="00B04CBA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B04CBA">
        <w:rPr>
          <w:sz w:val="28"/>
        </w:rPr>
        <w:t xml:space="preserve"> </w:t>
      </w:r>
      <w:r w:rsidRPr="00B04CBA">
        <w:rPr>
          <w:color w:val="000000"/>
          <w:sz w:val="28"/>
        </w:rPr>
        <w:t>27 305,9</w:t>
      </w:r>
      <w:r w:rsidRPr="00B04CBA">
        <w:rPr>
          <w:sz w:val="28"/>
        </w:rPr>
        <w:t xml:space="preserve"> руб., что на 7</w:t>
      </w:r>
      <w:r w:rsidRPr="00B04CBA">
        <w:rPr>
          <w:color w:val="000000"/>
          <w:sz w:val="28"/>
        </w:rPr>
        <w:t>,9</w:t>
      </w:r>
      <w:r w:rsidRPr="00B04CBA">
        <w:rPr>
          <w:sz w:val="28"/>
        </w:rPr>
        <w:t xml:space="preserve">% больше уровня 2023 года, в 2025 году — </w:t>
      </w:r>
      <w:r w:rsidRPr="00B04CBA">
        <w:rPr>
          <w:color w:val="000000"/>
          <w:sz w:val="28"/>
        </w:rPr>
        <w:t>29 207,8</w:t>
      </w:r>
      <w:r w:rsidRPr="00B04CBA">
        <w:rPr>
          <w:sz w:val="28"/>
        </w:rPr>
        <w:t xml:space="preserve"> руб. или </w:t>
      </w:r>
      <w:r w:rsidRPr="00B04CBA">
        <w:rPr>
          <w:color w:val="000000"/>
          <w:sz w:val="28"/>
        </w:rPr>
        <w:t>107</w:t>
      </w:r>
      <w:r w:rsidRPr="00B04CBA">
        <w:rPr>
          <w:sz w:val="28"/>
        </w:rPr>
        <w:t xml:space="preserve">% уровня 2024 года, в 2026 году — </w:t>
      </w:r>
      <w:r w:rsidRPr="00B04CBA">
        <w:rPr>
          <w:color w:val="000000"/>
          <w:sz w:val="28"/>
        </w:rPr>
        <w:t>31 149,1</w:t>
      </w:r>
      <w:r w:rsidRPr="00B04CBA">
        <w:rPr>
          <w:sz w:val="28"/>
        </w:rPr>
        <w:t xml:space="preserve"> руб. или </w:t>
      </w:r>
      <w:r w:rsidRPr="00B04CBA">
        <w:rPr>
          <w:color w:val="000000"/>
          <w:sz w:val="28"/>
        </w:rPr>
        <w:t>106,6</w:t>
      </w:r>
      <w:r w:rsidRPr="00B04CBA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7A11EB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7A11EB">
        <w:rPr>
          <w:sz w:val="28"/>
        </w:rPr>
        <w:t xml:space="preserve">Валовой внутренний продукт в 2024 году составит </w:t>
      </w:r>
      <w:r w:rsidRPr="007A11EB">
        <w:rPr>
          <w:color w:val="000000"/>
          <w:sz w:val="28"/>
        </w:rPr>
        <w:t>952,9</w:t>
      </w:r>
      <w:r w:rsidRPr="007A11EB">
        <w:rPr>
          <w:sz w:val="28"/>
        </w:rPr>
        <w:t xml:space="preserve"> млн</w:t>
      </w:r>
      <w:proofErr w:type="gramStart"/>
      <w:r w:rsidRPr="007A11EB">
        <w:rPr>
          <w:sz w:val="28"/>
        </w:rPr>
        <w:t>.р</w:t>
      </w:r>
      <w:proofErr w:type="gramEnd"/>
      <w:r w:rsidRPr="007A11EB">
        <w:rPr>
          <w:sz w:val="28"/>
        </w:rPr>
        <w:t xml:space="preserve">уб., или </w:t>
      </w:r>
      <w:r w:rsidRPr="007A11EB">
        <w:rPr>
          <w:color w:val="000000"/>
          <w:sz w:val="28"/>
        </w:rPr>
        <w:t>106</w:t>
      </w:r>
      <w:r w:rsidRPr="007A11EB">
        <w:rPr>
          <w:sz w:val="28"/>
        </w:rPr>
        <w:t xml:space="preserve">% к уровню 2023 года, в 2025 году – </w:t>
      </w:r>
      <w:r w:rsidRPr="007A11EB">
        <w:rPr>
          <w:color w:val="000000"/>
          <w:sz w:val="28"/>
        </w:rPr>
        <w:t>1 044,0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109,6</w:t>
      </w:r>
      <w:r w:rsidRPr="007A11EB">
        <w:rPr>
          <w:sz w:val="28"/>
        </w:rPr>
        <w:t xml:space="preserve">% уровня 2024 года, в 2026 году – </w:t>
      </w:r>
      <w:r w:rsidRPr="007A11EB">
        <w:rPr>
          <w:color w:val="000000"/>
          <w:sz w:val="28"/>
        </w:rPr>
        <w:t>1 104,8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105,8</w:t>
      </w:r>
      <w:r w:rsidRPr="007A11EB">
        <w:rPr>
          <w:sz w:val="28"/>
        </w:rPr>
        <w:t>% уровня 2025 года.</w:t>
      </w:r>
    </w:p>
    <w:p w:rsidR="00982EC6" w:rsidRPr="001E2EDD" w:rsidRDefault="00982EC6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187" w:rsidRPr="00AB5EF0" w:rsidRDefault="004A28FD" w:rsidP="00AB5EF0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D25187">
        <w:rPr>
          <w:rFonts w:ascii="PT Astra Serif" w:hAnsi="PT Astra Serif"/>
          <w:b/>
          <w:sz w:val="28"/>
          <w:szCs w:val="28"/>
          <w:u w:val="single"/>
        </w:rPr>
        <w:t>Максимовского</w:t>
      </w:r>
      <w:proofErr w:type="spellEnd"/>
      <w:r w:rsidRPr="00D25187">
        <w:rPr>
          <w:rFonts w:ascii="PT Astra Serif" w:hAnsi="PT Astra Serif"/>
          <w:b/>
          <w:sz w:val="28"/>
          <w:szCs w:val="28"/>
          <w:u w:val="single"/>
        </w:rPr>
        <w:t xml:space="preserve"> муниципального образования:</w:t>
      </w:r>
    </w:p>
    <w:p w:rsidR="00D25187" w:rsidRPr="00D25187" w:rsidRDefault="00AB5EF0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в 2021 году 1768 </w:t>
      </w:r>
      <w:r w:rsidR="002324B4" w:rsidRPr="00D25187">
        <w:rPr>
          <w:rFonts w:ascii="PT Astra Serif" w:hAnsi="PT Astra Serif"/>
          <w:sz w:val="28"/>
          <w:szCs w:val="28"/>
        </w:rPr>
        <w:t>чел.</w:t>
      </w:r>
      <w:r w:rsidR="001B4B6F" w:rsidRPr="00D25187">
        <w:rPr>
          <w:rFonts w:ascii="PT Astra Serif" w:hAnsi="PT Astra Serif"/>
          <w:sz w:val="28"/>
          <w:szCs w:val="28"/>
        </w:rPr>
        <w:t>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2022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2023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</w:t>
      </w:r>
      <w:r w:rsidR="00D25187" w:rsidRPr="00D25187">
        <w:rPr>
          <w:rFonts w:ascii="PT Astra Serif" w:hAnsi="PT Astra Serif"/>
          <w:sz w:val="28"/>
          <w:szCs w:val="28"/>
        </w:rPr>
        <w:t>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2024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чел.,</w:t>
      </w:r>
    </w:p>
    <w:p w:rsidR="00EF6706" w:rsidRPr="00D25187" w:rsidRDefault="004D669F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2025</w:t>
      </w:r>
      <w:r w:rsidR="00E5724E" w:rsidRPr="00D25187">
        <w:rPr>
          <w:rFonts w:ascii="PT Astra Serif" w:hAnsi="PT Astra Serif"/>
          <w:sz w:val="28"/>
          <w:szCs w:val="28"/>
        </w:rPr>
        <w:t xml:space="preserve">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="00E5724E" w:rsidRPr="00D25187">
        <w:rPr>
          <w:rFonts w:ascii="PT Astra Serif" w:hAnsi="PT Astra Serif"/>
          <w:sz w:val="28"/>
          <w:szCs w:val="28"/>
        </w:rPr>
        <w:t xml:space="preserve"> чел</w:t>
      </w:r>
      <w:proofErr w:type="gramStart"/>
      <w:r w:rsidR="00E5724E" w:rsidRPr="00D25187">
        <w:rPr>
          <w:rFonts w:ascii="PT Astra Serif" w:hAnsi="PT Astra Serif"/>
          <w:sz w:val="28"/>
          <w:szCs w:val="28"/>
        </w:rPr>
        <w:t>..</w:t>
      </w:r>
      <w:proofErr w:type="gramEnd"/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55BA8" w:rsidRPr="001E2EDD" w:rsidRDefault="00725A90" w:rsidP="00CD322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55BA8" w:rsidRPr="001E2EDD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725A90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14 997,1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21 202,2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16 448,7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10 539,2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11 190,4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15 210,6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22 289,3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16 448,7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10 539,2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11 190,4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</w:t>
            </w:r>
            <w:proofErr w:type="gramStart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-213,5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-1 087,1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2F" w:rsidRDefault="00CD322F" w:rsidP="009C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2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019425"/>
            <wp:effectExtent l="190500" t="152400" r="171450" b="142875"/>
            <wp:docPr id="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93D" w:rsidRDefault="0080593D" w:rsidP="00DC1A0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DC1A08" w:rsidRPr="00447B50" w:rsidRDefault="00E84DED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4DED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1E2EDD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</w:t>
      </w:r>
      <w:r w:rsidR="009C6334">
        <w:rPr>
          <w:rStyle w:val="a9"/>
          <w:rFonts w:ascii="PT Astra Serif" w:hAnsi="PT Astra Serif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г. и плановый пери</w:t>
      </w:r>
      <w:r w:rsidR="009C6334">
        <w:rPr>
          <w:rStyle w:val="a9"/>
          <w:rFonts w:ascii="PT Astra Serif" w:hAnsi="PT Astra Serif"/>
          <w:color w:val="000000" w:themeColor="text1"/>
          <w:sz w:val="28"/>
          <w:szCs w:val="28"/>
        </w:rPr>
        <w:t>од 2025 и 2026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E2EDD" w:rsidRPr="008C42A6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1E2EDD" w:rsidRPr="00CA2001" w:rsidRDefault="001E2EDD" w:rsidP="001E2EDD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1E2EDD" w:rsidRPr="0080593D" w:rsidRDefault="001E2EDD" w:rsidP="0080593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на</w:t>
      </w:r>
      <w:proofErr w:type="gram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: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3D0179" w:rsidRPr="0080593D" w:rsidRDefault="001E2EDD" w:rsidP="0080593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сокращение недоимки по платежам в бюджет.</w:t>
      </w: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66675" b="9525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01147" w:rsidRPr="00516D90" w:rsidRDefault="00521D18" w:rsidP="00591442">
      <w:pPr>
        <w:spacing w:after="0"/>
        <w:jc w:val="center"/>
        <w:rPr>
          <w:rFonts w:ascii="Times New Roman" w:hAnsi="Times New Roman"/>
          <w:i/>
          <w:color w:val="0F243E" w:themeColor="text2" w:themeShade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1147" w:rsidRPr="00516D90">
        <w:rPr>
          <w:rFonts w:ascii="Times New Roman" w:hAnsi="Times New Roman"/>
          <w:i/>
          <w:color w:val="0F243E" w:themeColor="text2" w:themeShade="80"/>
          <w:sz w:val="18"/>
          <w:szCs w:val="18"/>
        </w:rPr>
        <w:t>тыс</w:t>
      </w:r>
      <w:proofErr w:type="gramStart"/>
      <w:r w:rsidR="00501147" w:rsidRPr="00516D90">
        <w:rPr>
          <w:rFonts w:ascii="Times New Roman" w:hAnsi="Times New Roman"/>
          <w:i/>
          <w:color w:val="0F243E" w:themeColor="text2" w:themeShade="80"/>
          <w:sz w:val="18"/>
          <w:szCs w:val="18"/>
        </w:rPr>
        <w:t>.р</w:t>
      </w:r>
      <w:proofErr w:type="gramEnd"/>
      <w:r w:rsidR="00501147" w:rsidRPr="00516D90">
        <w:rPr>
          <w:rFonts w:ascii="Times New Roman" w:hAnsi="Times New Roman"/>
          <w:i/>
          <w:color w:val="0F243E" w:themeColor="text2" w:themeShade="80"/>
          <w:sz w:val="18"/>
          <w:szCs w:val="18"/>
        </w:rPr>
        <w:t>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1E2EDD" w:rsidRPr="00851B5C" w:rsidTr="00037F6A">
        <w:trPr>
          <w:cnfStyle w:val="1000000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/</w:t>
            </w:r>
            <w:proofErr w:type="spellStart"/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1E2EDD" w:rsidRPr="00851B5C" w:rsidRDefault="003F5D4B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2022</w:t>
            </w:r>
            <w:r w:rsidR="001E2EDD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1E2EDD" w:rsidRPr="00851B5C" w:rsidRDefault="001E2EDD" w:rsidP="003F5D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3F5D4B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496" w:type="dxa"/>
          </w:tcPr>
          <w:p w:rsidR="001E2EDD" w:rsidRPr="00851B5C" w:rsidRDefault="001E2EDD" w:rsidP="00546ED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546ED4">
              <w:rPr>
                <w:rFonts w:ascii="PT Astra Serif" w:hAnsi="PT Astra Serif"/>
                <w:i/>
              </w:rPr>
              <w:t>4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90" w:type="dxa"/>
          </w:tcPr>
          <w:p w:rsidR="001E2EDD" w:rsidRPr="00851B5C" w:rsidRDefault="001E2EDD" w:rsidP="00546ED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546ED4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12" w:type="dxa"/>
          </w:tcPr>
          <w:p w:rsidR="001E2EDD" w:rsidRPr="00851B5C" w:rsidRDefault="001E2EDD" w:rsidP="00546ED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546ED4">
              <w:rPr>
                <w:rFonts w:ascii="PT Astra Serif" w:hAnsi="PT Astra Serif"/>
                <w:i/>
              </w:rPr>
              <w:t>6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8 380,1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10 115,5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9 955,2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10 424,3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11 073,3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1 495,7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969,6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2 225,2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2 405,0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2 243,2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1 589,5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1 738,6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1 665,3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1 701,1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2 294,2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3 331,0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5 740,3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3 250,0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3 465,2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3 655,1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108,3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168,0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1 855,2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1 498,8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2 344,7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2 383,0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2 410,8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1E2EDD" w:rsidRPr="00851B5C" w:rsidTr="00037F6A">
        <w:trPr>
          <w:trHeight w:val="523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1E2EDD" w:rsidRPr="00851B5C" w:rsidRDefault="001E2EDD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57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360,0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360,0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8 380,1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10 475,5</w:t>
            </w:r>
          </w:p>
        </w:tc>
        <w:tc>
          <w:tcPr>
            <w:tcW w:w="1496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9 955,2</w:t>
            </w:r>
          </w:p>
        </w:tc>
        <w:tc>
          <w:tcPr>
            <w:tcW w:w="1390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10 424,3</w:t>
            </w:r>
          </w:p>
        </w:tc>
        <w:tc>
          <w:tcPr>
            <w:tcW w:w="1312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11 073,3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6 617,0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10 726,6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6 493,3</w:t>
            </w:r>
          </w:p>
        </w:tc>
        <w:tc>
          <w:tcPr>
            <w:tcW w:w="1390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114,9</w:t>
            </w:r>
          </w:p>
        </w:tc>
        <w:tc>
          <w:tcPr>
            <w:tcW w:w="1312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117,1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99,7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98,1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108,5</w:t>
            </w:r>
          </w:p>
        </w:tc>
        <w:tc>
          <w:tcPr>
            <w:tcW w:w="1390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114,9</w:t>
            </w:r>
          </w:p>
        </w:tc>
        <w:tc>
          <w:tcPr>
            <w:tcW w:w="1312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117,1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5 436,0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7 676,2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5 151,0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288,1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817,7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2 364,2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1 234,0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546ED4" w:rsidP="00546ED4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300,0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  <w:trHeight w:val="433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14 997,1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21 202,1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16 448,7</w:t>
            </w:r>
          </w:p>
        </w:tc>
        <w:tc>
          <w:tcPr>
            <w:tcW w:w="1390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10 539,2</w:t>
            </w:r>
          </w:p>
        </w:tc>
        <w:tc>
          <w:tcPr>
            <w:tcW w:w="1312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11 190,4</w:t>
            </w:r>
          </w:p>
        </w:tc>
      </w:tr>
    </w:tbl>
    <w:p w:rsidR="00037F6A" w:rsidRDefault="00037F6A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F6A" w:rsidRDefault="00037F6A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79" w:rsidRDefault="00E84DED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53" style="position:absolute;margin-left:-13.95pt;margin-top:-17.85pt;width:757.5pt;height:543.75pt;z-index:2516756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3">
              <w:txbxContent>
                <w:p w:rsidR="003F5D4B" w:rsidRPr="004A2668" w:rsidRDefault="003F5D4B" w:rsidP="004A2668">
                  <w:pPr>
                    <w:spacing w:after="0" w:line="240" w:lineRule="auto"/>
                    <w:ind w:firstLine="708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Бюджет </w:t>
                  </w:r>
                  <w:proofErr w:type="spellStart"/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по доходам сформирован в объеме 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16 448,7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тыс</w:t>
                  </w:r>
                  <w:proofErr w:type="gramStart"/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ублей.,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исходя из налоговых и неналоговых доходов в сумме 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9 955,2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тыс. рублей.,  безвозмездных поступлений 6</w:t>
                  </w:r>
                  <w:r w:rsidR="005A5147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 493,5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 xml:space="preserve"> тыс. руб.</w:t>
                  </w:r>
                </w:p>
                <w:p w:rsidR="003F5D4B" w:rsidRPr="004A2668" w:rsidRDefault="003F5D4B" w:rsidP="004A2668">
                  <w:pPr>
                    <w:spacing w:after="0" w:line="240" w:lineRule="auto"/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</w:p>
                <w:p w:rsidR="003F5D4B" w:rsidRPr="004A2668" w:rsidRDefault="003F5D4B" w:rsidP="004A2668">
                  <w:pPr>
                    <w:spacing w:after="0" w:line="240" w:lineRule="auto"/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основу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налога на доходы физических лиц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принята оценка прогноза фонда оплаты труда работающих на 2023 год (33 644,6 тыс</w:t>
                  </w:r>
                  <w:proofErr w:type="gram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ублей.), поступление налога за 2020-2022 годы. </w:t>
                  </w:r>
                </w:p>
                <w:p w:rsidR="003F5D4B" w:rsidRPr="004A2668" w:rsidRDefault="003F5D4B" w:rsidP="00C02943">
                  <w:pPr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Объем поступления налога на доходы физических лиц в бюджете муниципального образования составит 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2 225,2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тыс. рублей.</w:t>
                  </w:r>
                </w:p>
                <w:p w:rsidR="003F5D4B" w:rsidRPr="004A2668" w:rsidRDefault="003F5D4B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Бюджетным кодексом Российской Федерации за бюджетом муниципального образования</w:t>
                  </w:r>
                  <w:r w:rsidR="00A04496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(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сельское поселение) закреплено 2 процента</w:t>
                  </w:r>
                  <w:r w:rsidR="00A04496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налога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            </w:r>
                  <w:proofErr w:type="spell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Карабулаского</w:t>
                  </w:r>
                  <w:proofErr w:type="spell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района Саратовской области.</w:t>
                  </w:r>
                </w:p>
                <w:p w:rsidR="003F5D4B" w:rsidRPr="004A2668" w:rsidRDefault="003F5D4B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основе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единого сельскохозяйственного налога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приняты доходы, уменьшенные на величину расходов, по прогнозу отдела экономического развития на 202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3 250,0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ублей.</w:t>
                  </w:r>
                </w:p>
                <w:p w:rsidR="003F5D4B" w:rsidRPr="004A2668" w:rsidRDefault="003F5D4B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основу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налога на имущество физических лиц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            </w:r>
                  <w:proofErr w:type="spell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от 27.10.2014 года № 19 «Об установлении налога на имущество физических лиц на территории </w:t>
                  </w:r>
                  <w:proofErr w:type="spell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образования».  Объем поступления налога на имущество физических лиц в бюджете муниципального об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разования составит в сумме 470,0 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тыс</w:t>
                  </w:r>
                  <w:proofErr w:type="gramStart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ублей. </w:t>
                  </w:r>
                </w:p>
                <w:p w:rsidR="003F5D4B" w:rsidRPr="004A2668" w:rsidRDefault="003F5D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E84DED" w:rsidP="00C02943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pict>
          <v:roundrect id="_x0000_s1054" style="position:absolute;left:0;text-align:left;margin-left:2.55pt;margin-top:1.65pt;width:736.5pt;height:251.25pt;z-index:2516766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F5D4B" w:rsidRDefault="003F5D4B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proofErr w:type="gram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Доходы муниципального образования от </w:t>
                  </w: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земельного налога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рассчитаны на основе кадастровой стоимости земельных участков и Решения Совета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от 14.11.2008 года № 28 «Об установлении земельного налога на территории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образования», Решения «О внесении изменений в решение Совета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от 14.11.2008 года № 28 «Об установлении земельного налога на территории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образования»  от 28.09.2010 года № 16 , Решения</w:t>
                  </w:r>
                  <w:proofErr w:type="gram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от 14.11.2008 года № 28 « Об установлении земельного налога на территории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образования» от 27.10.2014 года № 20, Решения «О внесении изменений в решение Совета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от 14.11.2008 года № 28 « Об установлении земельного налога на территории </w:t>
                  </w:r>
                  <w:proofErr w:type="spell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образования» от 30.10.2015 года № 28.</w:t>
                  </w:r>
                  <w:proofErr w:type="gramEnd"/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Земельный налог запланирован в сумме 2 344,7 тыс</w:t>
                  </w:r>
                  <w:proofErr w:type="gramStart"/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уб.</w:t>
                  </w:r>
                </w:p>
                <w:p w:rsidR="005A5147" w:rsidRPr="001E2EDD" w:rsidRDefault="005A514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</w:p>
                <w:p w:rsidR="003F5D4B" w:rsidRPr="001E2EDD" w:rsidRDefault="003F5D4B" w:rsidP="00C02943">
                  <w:pPr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Поступление земельного налога запланировано в сумме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1 499,0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тыс</w:t>
                  </w:r>
                  <w:proofErr w:type="gramStart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.р</w:t>
                  </w:r>
                  <w:proofErr w:type="gramEnd"/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ублей.</w:t>
                  </w:r>
                </w:p>
                <w:p w:rsidR="003F5D4B" w:rsidRDefault="003F5D4B" w:rsidP="00C02943"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Поступление </w:t>
                  </w: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акцизов на нефтепродукты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запланировано в сумме -1 738,6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тыс. рублей</w:t>
                  </w:r>
                </w:p>
              </w:txbxContent>
            </v:textbox>
          </v:roundrect>
        </w:pict>
      </w: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E902CC" w:rsidRDefault="00E902CC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E84DED" w:rsidP="00E158F2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noProof/>
          <w:sz w:val="28"/>
          <w:szCs w:val="28"/>
          <w:lang w:eastAsia="ru-RU"/>
        </w:rPr>
        <w:pict>
          <v:roundrect id="_x0000_s1052" style="position:absolute;left:0;text-align:left;margin-left:8.55pt;margin-top:3.8pt;width:730.5pt;height:103.2pt;z-index:2516746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F5D4B" w:rsidRPr="001E2EDD" w:rsidRDefault="003F5D4B" w:rsidP="004A2668">
                  <w:pPr>
                    <w:spacing w:after="0" w:line="240" w:lineRule="auto"/>
                    <w:ind w:firstLine="708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C02943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>Безвозмездные поступления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запланированы в объеме </w:t>
                  </w:r>
                  <w:r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6</w:t>
                  </w:r>
                  <w:r w:rsidR="005A5147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 493,5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тыс. рублей или </w:t>
                  </w:r>
                  <w:r w:rsidR="005A5147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39,5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% о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 общего объема доходов, из них:</w:t>
                  </w:r>
                </w:p>
                <w:p w:rsidR="003F5D4B" w:rsidRPr="001E2EDD" w:rsidRDefault="003F5D4B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- дотация – </w:t>
                  </w:r>
                  <w:r w:rsidR="003475F4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108,5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тыс. рублей или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0,7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% от общего объема доходов;</w:t>
                  </w:r>
                </w:p>
                <w:p w:rsidR="003F5D4B" w:rsidRPr="001E2EDD" w:rsidRDefault="003F5D4B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- субсидии –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5</w:t>
                  </w:r>
                  <w:r w:rsidR="003475F4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 151,0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. рублей или </w:t>
                  </w:r>
                  <w:r w:rsidR="003475F4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31,3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% от общего объема доходов;</w:t>
                  </w:r>
                </w:p>
                <w:p w:rsidR="003F5D4B" w:rsidRPr="001E2EDD" w:rsidRDefault="003F5D4B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- иные межбюджетные трансферты-</w:t>
                  </w:r>
                  <w:r w:rsidR="003475F4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1 234,0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тыс. рублей или </w:t>
                  </w:r>
                  <w:r w:rsidR="003475F4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7,5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% от общего объема доходов.</w:t>
                  </w:r>
                </w:p>
                <w:p w:rsidR="003F5D4B" w:rsidRDefault="003F5D4B"/>
              </w:txbxContent>
            </v:textbox>
          </v:roundrect>
        </w:pict>
      </w: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4A2668" w:rsidRDefault="004A2668" w:rsidP="00E158F2">
      <w:pPr>
        <w:tabs>
          <w:tab w:val="left" w:pos="3248"/>
        </w:tabs>
        <w:rPr>
          <w:rFonts w:ascii="PT Astra Serif" w:hAnsi="PT Astra Serif"/>
          <w:noProof/>
          <w:sz w:val="28"/>
          <w:szCs w:val="28"/>
          <w:lang w:eastAsia="ru-RU"/>
        </w:rPr>
      </w:pPr>
    </w:p>
    <w:p w:rsidR="00E158F2" w:rsidRPr="001E2EDD" w:rsidRDefault="00E158F2" w:rsidP="004A2668">
      <w:pPr>
        <w:tabs>
          <w:tab w:val="left" w:pos="3248"/>
        </w:tabs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1E2EDD" w:rsidRDefault="00E84DE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E84DED">
        <w:rPr>
          <w:rFonts w:ascii="PT Astra Serif" w:hAnsi="PT Astra Serif"/>
          <w:i/>
          <w:noProof/>
          <w:sz w:val="28"/>
          <w:szCs w:val="28"/>
          <w:lang w:eastAsia="ru-RU"/>
        </w:rPr>
        <w:pict>
          <v:roundrect id="_x0000_s1051" style="position:absolute;left:0;text-align:left;margin-left:2.55pt;margin-top:11.55pt;width:736.5pt;height:173.35pt;z-index:25167360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F5D4B" w:rsidRDefault="003F5D4B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 xml:space="preserve">Основные направления деятельности </w:t>
                  </w:r>
                  <w:proofErr w:type="spellStart"/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>Максимовского</w:t>
                  </w:r>
                  <w:proofErr w:type="spellEnd"/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 xml:space="preserve"> муниципального образования </w:t>
                  </w:r>
                </w:p>
                <w:p w:rsidR="003F5D4B" w:rsidRDefault="003F5D4B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>по повышению доходов бюджета:</w:t>
                  </w:r>
                </w:p>
                <w:p w:rsidR="003F5D4B" w:rsidRPr="004A2668" w:rsidRDefault="003F5D4B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:rsidR="003F5D4B" w:rsidRPr="001E2EDD" w:rsidRDefault="003F5D4B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Выявление собственников имущества и земельных участков, не оформивших имущественные права.</w:t>
                  </w:r>
                </w:p>
                <w:p w:rsidR="003F5D4B" w:rsidRPr="001E2EDD" w:rsidRDefault="003F5D4B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Оформление невостребованных земельных участков.</w:t>
                  </w:r>
                </w:p>
                <w:p w:rsidR="003F5D4B" w:rsidRPr="001E2EDD" w:rsidRDefault="003F5D4B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Проведение совещаний с налогоплательщиками по вопросу уменьшения недоимки по земельному налогу, налогу на имущество физических лиц.</w:t>
                  </w:r>
                </w:p>
                <w:p w:rsidR="003F5D4B" w:rsidRPr="001E2EDD" w:rsidRDefault="003F5D4B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            </w:r>
                </w:p>
                <w:p w:rsidR="003F5D4B" w:rsidRDefault="003F5D4B"/>
              </w:txbxContent>
            </v:textbox>
          </v:roundrect>
        </w:pict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C02943">
      <w:pPr>
        <w:tabs>
          <w:tab w:val="left" w:pos="3248"/>
        </w:tabs>
        <w:rPr>
          <w:rFonts w:ascii="Times New Roman" w:hAnsi="Times New Roman"/>
          <w:sz w:val="28"/>
          <w:szCs w:val="28"/>
        </w:rPr>
      </w:pPr>
    </w:p>
    <w:p w:rsidR="001E2EDD" w:rsidRDefault="00E84DE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0" style="position:absolute;left:0;text-align:left;margin-left:41.55pt;margin-top:8.35pt;width:673.5pt;height:33.7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0">
              <w:txbxContent>
                <w:p w:rsidR="003F5D4B" w:rsidRPr="0080593D" w:rsidRDefault="003F5D4B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Структура доходов бюджета </w:t>
                  </w:r>
                  <w:proofErr w:type="spellStart"/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ниципального образования на 2024</w:t>
                  </w:r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</w:t>
                  </w:r>
                  <w:proofErr w:type="gramStart"/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(%)</w:t>
                  </w:r>
                  <w:proofErr w:type="gramEnd"/>
                </w:p>
              </w:txbxContent>
            </v:textbox>
          </v:roundrect>
        </w:pict>
      </w:r>
      <w:r w:rsidR="001E2EDD"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24900" cy="494347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E84DED" w:rsidP="0080593D">
      <w:pPr>
        <w:tabs>
          <w:tab w:val="left" w:pos="3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8" style="position:absolute;margin-left:11.55pt;margin-top:5.4pt;width:343.5pt;height:36.75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8">
              <w:txbxContent>
                <w:p w:rsidR="003F5D4B" w:rsidRPr="00664C49" w:rsidRDefault="003F5D4B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Структура доходов бюджета </w:t>
                  </w:r>
                  <w:proofErr w:type="spellStart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Максимовского</w:t>
                  </w:r>
                  <w:proofErr w:type="spellEnd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му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ниципального образования на 2025</w:t>
                  </w:r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год</w:t>
                  </w:r>
                  <w:proofErr w:type="gramStart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  <w:p w:rsidR="003F5D4B" w:rsidRPr="00664C49" w:rsidRDefault="003F5D4B" w:rsidP="00664C4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9" style="position:absolute;margin-left:383.55pt;margin-top:5.4pt;width:348.75pt;height:36.75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3F5D4B" w:rsidRPr="00664C49" w:rsidRDefault="003F5D4B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Структура доходов бюджета </w:t>
                  </w:r>
                  <w:proofErr w:type="spellStart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Максимовского</w:t>
                  </w:r>
                  <w:proofErr w:type="spellEnd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муниципального образования на 2026 год</w:t>
                  </w:r>
                  <w:proofErr w:type="gramStart"/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xbxContent>
            </v:textbox>
          </v:roundrect>
        </w:pict>
      </w:r>
      <w:r w:rsidR="001E2EDD"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67437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0" w:name="_GoBack"/>
      <w:r w:rsidR="00664C49" w:rsidRPr="00664C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6743700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1E2EDD" w:rsidRPr="001A2402" w:rsidRDefault="00501147" w:rsidP="001A2402">
      <w:pPr>
        <w:pStyle w:val="1"/>
        <w:jc w:val="center"/>
        <w:rPr>
          <w:rFonts w:ascii="Times New Roman" w:hAnsi="Times New Roman"/>
          <w:noProof/>
          <w:color w:val="17365D" w:themeColor="text2" w:themeShade="BF"/>
          <w:lang w:eastAsia="ru-RU"/>
        </w:rPr>
      </w:pPr>
      <w:r>
        <w:rPr>
          <w:rFonts w:ascii="Times New Roman" w:hAnsi="Times New Roman"/>
        </w:rPr>
        <w:br w:type="page"/>
      </w:r>
      <w:r w:rsidR="009C6334" w:rsidRPr="001A2402">
        <w:rPr>
          <w:color w:val="17365D" w:themeColor="text2" w:themeShade="BF"/>
        </w:rPr>
        <w:lastRenderedPageBreak/>
        <w:t>Расходы бюджета на 2024 год и на плановый период 2025 и 2026</w:t>
      </w:r>
      <w:r w:rsidR="001E2EDD" w:rsidRPr="001A2402">
        <w:rPr>
          <w:color w:val="17365D" w:themeColor="text2" w:themeShade="BF"/>
        </w:rPr>
        <w:t xml:space="preserve"> годов</w:t>
      </w:r>
    </w:p>
    <w:p w:rsidR="001E2EDD" w:rsidRPr="00851B5C" w:rsidRDefault="001E2EDD" w:rsidP="001E2EDD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9C6334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2E3512">
        <w:rPr>
          <w:rFonts w:ascii="PT Astra Serif" w:hAnsi="PT Astra Serif"/>
          <w:sz w:val="28"/>
          <w:szCs w:val="28"/>
        </w:rPr>
        <w:t xml:space="preserve">сумме </w:t>
      </w:r>
      <w:r w:rsidR="00804414">
        <w:rPr>
          <w:rFonts w:ascii="PT Astra Serif" w:hAnsi="PT Astra Serif"/>
          <w:sz w:val="28"/>
          <w:szCs w:val="28"/>
        </w:rPr>
        <w:t>16 448,7</w:t>
      </w:r>
      <w:r w:rsidR="002E3512" w:rsidRPr="002E3512">
        <w:rPr>
          <w:rFonts w:ascii="PT Astra Serif" w:hAnsi="PT Astra Serif"/>
          <w:sz w:val="28"/>
          <w:szCs w:val="28"/>
        </w:rPr>
        <w:t xml:space="preserve"> тыс. руб., </w:t>
      </w:r>
      <w:r w:rsidR="00804414">
        <w:rPr>
          <w:rFonts w:ascii="PT Astra Serif" w:hAnsi="PT Astra Serif"/>
          <w:sz w:val="28"/>
          <w:szCs w:val="28"/>
        </w:rPr>
        <w:t>10 539,2</w:t>
      </w:r>
      <w:r w:rsidR="002E3512" w:rsidRPr="002E3512">
        <w:rPr>
          <w:rFonts w:ascii="PT Astra Serif" w:hAnsi="PT Astra Serif"/>
          <w:sz w:val="28"/>
          <w:szCs w:val="28"/>
        </w:rPr>
        <w:t xml:space="preserve"> тыс. руб. и </w:t>
      </w:r>
      <w:r w:rsidR="00804414">
        <w:rPr>
          <w:rFonts w:ascii="PT Astra Serif" w:hAnsi="PT Astra Serif"/>
          <w:sz w:val="28"/>
          <w:szCs w:val="28"/>
        </w:rPr>
        <w:t>11 190,4</w:t>
      </w:r>
      <w:r w:rsidRPr="002E3512">
        <w:rPr>
          <w:rFonts w:ascii="PT Astra Serif" w:hAnsi="PT Astra Serif"/>
          <w:sz w:val="28"/>
          <w:szCs w:val="28"/>
        </w:rPr>
        <w:t xml:space="preserve"> тыс. руб.</w:t>
      </w:r>
    </w:p>
    <w:p w:rsidR="00DC1A08" w:rsidRDefault="00DC1A08" w:rsidP="001E2EDD">
      <w:pPr>
        <w:spacing w:after="0"/>
        <w:rPr>
          <w:rFonts w:ascii="Times New Roman" w:hAnsi="Times New Roman"/>
          <w:sz w:val="24"/>
          <w:szCs w:val="24"/>
        </w:rPr>
      </w:pPr>
    </w:p>
    <w:p w:rsidR="000D2B2A" w:rsidRPr="001E2EDD" w:rsidRDefault="00E84DED" w:rsidP="00501147">
      <w:pPr>
        <w:spacing w:after="0"/>
        <w:jc w:val="right"/>
        <w:rPr>
          <w:rFonts w:ascii="PT Astra Serif" w:hAnsi="PT Astra Serif"/>
          <w:i/>
        </w:rPr>
      </w:pPr>
      <w:r w:rsidRPr="00E84DED">
        <w:rPr>
          <w:rFonts w:ascii="Times New Roman" w:hAnsi="Times New Roman"/>
          <w:noProof/>
          <w:sz w:val="24"/>
          <w:szCs w:val="24"/>
          <w:lang w:eastAsia="ru-RU"/>
        </w:rPr>
      </w:r>
      <w:r w:rsidRPr="00E84DED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56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3F5D4B" w:rsidRDefault="003F5D4B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1E2EDD">
        <w:rPr>
          <w:rFonts w:ascii="PT Astra Serif" w:hAnsi="PT Astra Serif"/>
          <w:i/>
        </w:rPr>
        <w:t>тыс. руб.</w:t>
      </w:r>
    </w:p>
    <w:p w:rsidR="001E2EDD" w:rsidRDefault="001E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721B73" w:rsidRPr="006351E6" w:rsidTr="00591442">
        <w:trPr>
          <w:cnfStyle w:val="100000000000"/>
        </w:trPr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721B73" w:rsidRPr="00184653" w:rsidRDefault="00721B73" w:rsidP="00591442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2026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3 673,8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3757,2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3 734,7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3 834,9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3 964,8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00515D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00515D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00515D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7 015,9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8407,0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6 816,3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1 437,1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1 734,2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397,5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3335,0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1 765,4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2 089,0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2 001,8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3 296,3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5989,4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4 132,3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2 914,2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2 929,6</w:t>
            </w:r>
          </w:p>
        </w:tc>
      </w:tr>
      <w:tr w:rsidR="00591442" w:rsidRPr="006351E6" w:rsidTr="00591442">
        <w:trPr>
          <w:cnfStyle w:val="000000100000"/>
          <w:trHeight w:val="343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sz w:val="28"/>
                <w:szCs w:val="28"/>
              </w:rPr>
            </w:pPr>
            <w:r w:rsidRPr="00591442">
              <w:rPr>
                <w:rFonts w:ascii="PT Astra Serif" w:hAnsi="PT Astra Serif"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550,0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264,0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560,0</w:t>
            </w:r>
          </w:p>
        </w:tc>
      </w:tr>
      <w:tr w:rsidR="00591442" w:rsidRPr="006351E6" w:rsidTr="00591442">
        <w:trPr>
          <w:cnfStyle w:val="000000100000"/>
          <w:trHeight w:val="399"/>
        </w:trPr>
        <w:tc>
          <w:tcPr>
            <w:cnfStyle w:val="001000000000"/>
            <w:tcW w:w="5260" w:type="dxa"/>
            <w:shd w:val="clear" w:color="auto" w:fill="C6D9F1" w:themeFill="text2" w:themeFillTint="33"/>
          </w:tcPr>
          <w:p w:rsidR="00591442" w:rsidRPr="00290215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0515D">
              <w:rPr>
                <w:rFonts w:ascii="PT Astra Serif" w:hAnsi="PT Astra Serif"/>
                <w:b/>
                <w:bCs/>
                <w:sz w:val="28"/>
                <w:szCs w:val="28"/>
              </w:rPr>
              <w:t>15 210,6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591442" w:rsidRPr="0000515D" w:rsidRDefault="008A1FD1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804414">
              <w:rPr>
                <w:rFonts w:ascii="PT Astra Serif" w:hAnsi="PT Astra Serif"/>
                <w:b/>
                <w:sz w:val="28"/>
                <w:szCs w:val="28"/>
              </w:rPr>
              <w:t>2 289,3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16 448,7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10 539,2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11 190,4</w:t>
            </w:r>
          </w:p>
        </w:tc>
      </w:tr>
    </w:tbl>
    <w:p w:rsidR="000B52FF" w:rsidRDefault="00E84DED" w:rsidP="000B52FF">
      <w:pPr>
        <w:rPr>
          <w:rFonts w:ascii="Times New Roman" w:hAnsi="Times New Roman"/>
          <w:b/>
          <w:sz w:val="28"/>
          <w:szCs w:val="28"/>
          <w:u w:val="single"/>
        </w:rPr>
      </w:pPr>
      <w:r w:rsidRPr="00E84DED">
        <w:rPr>
          <w:noProof/>
          <w:lang w:eastAsia="ru-RU"/>
        </w:rPr>
        <w:lastRenderedPageBreak/>
        <w:pict>
          <v:roundrect id="_x0000_s1037" style="position:absolute;margin-left:197.8pt;margin-top:9.15pt;width:331.25pt;height:22.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F5D4B" w:rsidRPr="00F93BA1" w:rsidRDefault="003F5D4B" w:rsidP="00F93BA1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93BA1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1A240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align>top</wp:align>
            </wp:positionV>
            <wp:extent cx="5113020" cy="3474085"/>
            <wp:effectExtent l="19050" t="0" r="11430" b="0"/>
            <wp:wrapSquare wrapText="bothSides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1E2EDD" w:rsidRDefault="001E2EDD" w:rsidP="00655BA8"/>
    <w:p w:rsidR="00F93BA1" w:rsidRDefault="00F93BA1" w:rsidP="001E2EDD">
      <w:pPr>
        <w:jc w:val="center"/>
      </w:pPr>
    </w:p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Default="00E84DED" w:rsidP="00F93BA1">
      <w:r>
        <w:rPr>
          <w:noProof/>
          <w:lang w:eastAsia="ru-RU"/>
        </w:rPr>
        <w:pict>
          <v:roundrect id="_x0000_s1038" style="position:absolute;margin-left:-7.25pt;margin-top:45.4pt;width:323.7pt;height:21.9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F5D4B" w:rsidRPr="00F93BA1" w:rsidRDefault="003F5D4B" w:rsidP="00F93BA1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F93BA1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руктура расходов бюджета на 2025</w:t>
                  </w:r>
                  <w:r w:rsidRPr="00F93BA1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roundrect>
        </w:pict>
      </w:r>
      <w:r w:rsidR="00F93BA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465455</wp:posOffset>
            </wp:positionV>
            <wp:extent cx="5115560" cy="3148330"/>
            <wp:effectExtent l="19050" t="0" r="27940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noProof/>
          <w:lang w:eastAsia="ru-RU"/>
        </w:rPr>
        <w:pict>
          <v:roundrect id="_x0000_s1039" style="position:absolute;margin-left:398.05pt;margin-top:41.9pt;width:323.7pt;height:25.45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F5D4B" w:rsidRPr="00F93BA1" w:rsidRDefault="003F5D4B" w:rsidP="00F93BA1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93BA1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F93BA1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F93BA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465455</wp:posOffset>
            </wp:positionV>
            <wp:extent cx="4867275" cy="3148330"/>
            <wp:effectExtent l="19050" t="0" r="9525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1E2EDD" w:rsidRPr="00F93BA1" w:rsidRDefault="001E2EDD" w:rsidP="00E05E8F">
      <w:pPr>
        <w:tabs>
          <w:tab w:val="left" w:pos="2467"/>
        </w:tabs>
        <w:sectPr w:rsidR="001E2EDD" w:rsidRPr="00F93BA1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E84DED" w:rsidP="00655BA8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500.4pt;height:58.2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>
              <w:txbxContent>
                <w:p w:rsidR="003F5D4B" w:rsidRPr="001E6C27" w:rsidRDefault="003F5D4B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1E2EDD" w:rsidRPr="00B55880" w:rsidTr="000E68D6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1E2EDD" w:rsidRPr="00B55880" w:rsidTr="000E68D6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3,8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1E2EDD" w:rsidRPr="00B55880" w:rsidTr="000E68D6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="00725A9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387,3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1 930,4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1 754,5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2 078,1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1 990,9</w:t>
            </w:r>
          </w:p>
        </w:tc>
      </w:tr>
      <w:tr w:rsidR="001E2EDD" w:rsidRPr="00B55880" w:rsidTr="000E68D6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="00725A9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6 752,1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7 316,0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6 816,3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1 701,1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2 294,2</w:t>
            </w:r>
          </w:p>
        </w:tc>
      </w:tr>
      <w:tr w:rsidR="001E2EDD" w:rsidRPr="00B55880" w:rsidTr="000E68D6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Максимовского</w:t>
            </w:r>
            <w:proofErr w:type="spellEnd"/>
            <w:r w:rsidR="00725A90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5 989,4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4 132,3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2 914,2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2 929,6</w:t>
            </w:r>
          </w:p>
        </w:tc>
      </w:tr>
      <w:tr w:rsidR="002442F2" w:rsidRPr="00B55880" w:rsidTr="002442F2">
        <w:trPr>
          <w:cnfStyle w:val="000000100000"/>
          <w:trHeight w:val="1773"/>
        </w:trPr>
        <w:tc>
          <w:tcPr>
            <w:cnfStyle w:val="001000000000"/>
            <w:tcW w:w="3936" w:type="dxa"/>
            <w:hideMark/>
          </w:tcPr>
          <w:p w:rsidR="002442F2" w:rsidRPr="00851B5C" w:rsidRDefault="002442F2" w:rsidP="002442F2">
            <w:pPr>
              <w:spacing w:after="0"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2442F2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"Обеспечение комплексного развития территорий </w:t>
            </w:r>
            <w:proofErr w:type="spellStart"/>
            <w:r w:rsidRPr="002442F2">
              <w:rPr>
                <w:rFonts w:ascii="PT Astra Serif" w:hAnsi="PT Astra Serif" w:cs="Arial"/>
                <w:bCs w:val="0"/>
                <w:sz w:val="24"/>
                <w:szCs w:val="24"/>
              </w:rPr>
              <w:t>Максимовского</w:t>
            </w:r>
            <w:proofErr w:type="spellEnd"/>
            <w:r w:rsidRPr="002442F2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442F2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442F2" w:rsidRPr="00851B5C" w:rsidRDefault="00743467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1 393,7</w:t>
            </w:r>
          </w:p>
        </w:tc>
        <w:tc>
          <w:tcPr>
            <w:tcW w:w="1402" w:type="dxa"/>
            <w:hideMark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1E2EDD" w:rsidRPr="00B55880" w:rsidTr="000E68D6">
        <w:trPr>
          <w:cnfStyle w:val="000000010000"/>
          <w:trHeight w:val="315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7 143,2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16 631,5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12 705,10</w:t>
            </w:r>
          </w:p>
        </w:tc>
        <w:tc>
          <w:tcPr>
            <w:tcW w:w="1398" w:type="dxa"/>
          </w:tcPr>
          <w:p w:rsidR="001E2EDD" w:rsidRPr="00851B5C" w:rsidRDefault="00743467" w:rsidP="00A96E38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6 695,4</w:t>
            </w:r>
          </w:p>
        </w:tc>
        <w:tc>
          <w:tcPr>
            <w:tcW w:w="1426" w:type="dxa"/>
          </w:tcPr>
          <w:p w:rsidR="001E2EDD" w:rsidRPr="00851B5C" w:rsidRDefault="005B215B" w:rsidP="00A96E38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7 214,7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3E3567" w:rsidRPr="00501147" w:rsidRDefault="00E84DED" w:rsidP="00E05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55" style="width:757.65pt;height:35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3F5D4B" w:rsidRPr="00E05E8F" w:rsidRDefault="003F5D4B" w:rsidP="00E05E8F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05E8F"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>ия к бюджету для граждан на 2024 год и на плановый период 2025 и 2026</w:t>
                  </w:r>
                  <w:r w:rsidRPr="00E05E8F"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 xml:space="preserve"> годов</w:t>
                  </w:r>
                </w:p>
                <w:p w:rsidR="003F5D4B" w:rsidRPr="000E68D6" w:rsidRDefault="003F5D4B" w:rsidP="00E05E8F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0E68D6" w:rsidRPr="00E57693" w:rsidTr="00E57693">
        <w:trPr>
          <w:cnfStyle w:val="100000000000"/>
        </w:trPr>
        <w:tc>
          <w:tcPr>
            <w:cnfStyle w:val="001000000000"/>
            <w:tcW w:w="766" w:type="dxa"/>
          </w:tcPr>
          <w:p w:rsidR="000E68D6" w:rsidRPr="00E57693" w:rsidRDefault="000E68D6" w:rsidP="00E5769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26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E57693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E57693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 xml:space="preserve">2022 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>г</w:t>
            </w:r>
            <w:r w:rsidRPr="00E57693">
              <w:rPr>
                <w:rFonts w:ascii="PT Astra Serif" w:hAnsi="PT Astra Serif"/>
                <w:b w:val="0"/>
                <w:color w:val="FFFFFF"/>
              </w:rPr>
              <w:t xml:space="preserve">. 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>(фактическое значение)</w:t>
            </w:r>
          </w:p>
        </w:tc>
        <w:tc>
          <w:tcPr>
            <w:tcW w:w="1499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2023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2024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2025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2026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0E68D6" w:rsidRPr="00E57693" w:rsidTr="00E57693">
        <w:trPr>
          <w:cnfStyle w:val="000000100000"/>
          <w:trHeight w:val="513"/>
        </w:trPr>
        <w:tc>
          <w:tcPr>
            <w:cnfStyle w:val="001000000000"/>
            <w:tcW w:w="766" w:type="dxa"/>
          </w:tcPr>
          <w:p w:rsidR="000E68D6" w:rsidRPr="00E57693" w:rsidRDefault="000E68D6" w:rsidP="00E57693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0E68D6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8,4</w:t>
            </w:r>
          </w:p>
        </w:tc>
        <w:tc>
          <w:tcPr>
            <w:tcW w:w="1499" w:type="dxa"/>
          </w:tcPr>
          <w:p w:rsidR="000E68D6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12,3</w:t>
            </w:r>
          </w:p>
        </w:tc>
        <w:tc>
          <w:tcPr>
            <w:tcW w:w="1378" w:type="dxa"/>
          </w:tcPr>
          <w:p w:rsidR="000E68D6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9,6</w:t>
            </w:r>
          </w:p>
        </w:tc>
        <w:tc>
          <w:tcPr>
            <w:tcW w:w="1378" w:type="dxa"/>
          </w:tcPr>
          <w:p w:rsidR="000E68D6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6,1</w:t>
            </w:r>
          </w:p>
        </w:tc>
        <w:tc>
          <w:tcPr>
            <w:tcW w:w="1378" w:type="dxa"/>
          </w:tcPr>
          <w:p w:rsidR="000E68D6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6,5</w:t>
            </w:r>
          </w:p>
        </w:tc>
      </w:tr>
      <w:tr w:rsidR="005427FA" w:rsidRPr="00E57693" w:rsidTr="00E57693">
        <w:trPr>
          <w:trHeight w:val="225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8,6</w:t>
            </w:r>
          </w:p>
        </w:tc>
        <w:tc>
          <w:tcPr>
            <w:tcW w:w="1499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13,0</w:t>
            </w:r>
          </w:p>
        </w:tc>
        <w:tc>
          <w:tcPr>
            <w:tcW w:w="1378" w:type="dxa"/>
          </w:tcPr>
          <w:p w:rsidR="005427FA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9,6</w:t>
            </w:r>
          </w:p>
        </w:tc>
        <w:tc>
          <w:tcPr>
            <w:tcW w:w="1378" w:type="dxa"/>
          </w:tcPr>
          <w:p w:rsidR="005427FA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6,1</w:t>
            </w:r>
          </w:p>
        </w:tc>
        <w:tc>
          <w:tcPr>
            <w:tcW w:w="1378" w:type="dxa"/>
          </w:tcPr>
          <w:p w:rsidR="005427FA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6,5</w:t>
            </w:r>
          </w:p>
        </w:tc>
      </w:tr>
      <w:tr w:rsidR="005427FA" w:rsidRPr="00E57693" w:rsidTr="00E57693">
        <w:trPr>
          <w:cnfStyle w:val="000000100000"/>
          <w:trHeight w:val="493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224,8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1 942,3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1 028,2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1 216,7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1 165,9</w:t>
            </w:r>
          </w:p>
        </w:tc>
      </w:tr>
      <w:tr w:rsidR="005427FA" w:rsidRPr="00E57693" w:rsidTr="00E57693">
        <w:trPr>
          <w:trHeight w:val="467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1 864,4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3 488,3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2 406,7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1 697,3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1 706,2</w:t>
            </w:r>
          </w:p>
        </w:tc>
      </w:tr>
      <w:tr w:rsidR="005427FA" w:rsidRPr="00E57693" w:rsidTr="00E57693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498,6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492,5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513,2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527,0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545,2</w:t>
            </w:r>
          </w:p>
        </w:tc>
      </w:tr>
      <w:tr w:rsidR="005427FA" w:rsidRPr="00E57693" w:rsidTr="00E57693">
        <w:trPr>
          <w:trHeight w:val="665"/>
        </w:trPr>
        <w:tc>
          <w:tcPr>
            <w:cnfStyle w:val="001000000000"/>
            <w:tcW w:w="766" w:type="dxa"/>
          </w:tcPr>
          <w:p w:rsidR="005427FA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2 044,6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2 079,6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2 167,0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2 225,3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2 302,2</w:t>
            </w:r>
          </w:p>
        </w:tc>
      </w:tr>
      <w:tr w:rsidR="00E57693" w:rsidRPr="00E57693" w:rsidTr="00E57693">
        <w:trPr>
          <w:cnfStyle w:val="000000100000"/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pacing w:val="-8"/>
              </w:rPr>
            </w:pPr>
            <w:proofErr w:type="gramStart"/>
            <w:r w:rsidRPr="00E57693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57693" w:rsidRPr="00E57693" w:rsidTr="00E57693">
        <w:trPr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8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</w:tr>
      <w:tr w:rsidR="00E57693" w:rsidRPr="00E57693" w:rsidTr="00E57693">
        <w:trPr>
          <w:cnfStyle w:val="000000100000"/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9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</w:tr>
      <w:tr w:rsidR="00E57693" w:rsidRPr="00E57693" w:rsidTr="00E57693">
        <w:trPr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10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E05E8F" w:rsidRDefault="00E05E8F" w:rsidP="00E05E8F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E05E8F" w:rsidRDefault="00E84DED" w:rsidP="00E05E8F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67.35pt;margin-top:11.3pt;width:599.25pt;height:36.7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3F5D4B" w:rsidRPr="009A6374" w:rsidRDefault="003F5D4B" w:rsidP="00E05E8F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E05E8F" w:rsidRDefault="00E05E8F" w:rsidP="00E05E8F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E05E8F" w:rsidRDefault="00E05E8F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05E8F" w:rsidRDefault="00E05E8F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05E8F" w:rsidRPr="008640A6" w:rsidRDefault="00E57693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05E8F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E05E8F" w:rsidRPr="008640A6" w:rsidTr="00137AAB">
        <w:trPr>
          <w:cnfStyle w:val="1000000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E68D6">
      <w:pPr>
        <w:spacing w:after="0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A97EE9">
          <w:pgSz w:w="16838" w:h="11905" w:orient="landscape"/>
          <w:pgMar w:top="142" w:right="678" w:bottom="565" w:left="1134" w:header="720" w:footer="720" w:gutter="0"/>
          <w:cols w:space="720"/>
          <w:noEndnote/>
          <w:docGrid w:linePitch="299"/>
        </w:sect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района</w:t>
      </w:r>
      <w:proofErr w:type="gramStart"/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>алышева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7F67E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A0449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A0449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A0449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4B" w:rsidRDefault="003F5D4B" w:rsidP="001A2402">
      <w:pPr>
        <w:spacing w:after="0" w:line="240" w:lineRule="auto"/>
      </w:pPr>
      <w:r>
        <w:separator/>
      </w:r>
    </w:p>
  </w:endnote>
  <w:endnote w:type="continuationSeparator" w:id="0">
    <w:p w:rsidR="003F5D4B" w:rsidRDefault="003F5D4B" w:rsidP="001A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4B" w:rsidRDefault="003F5D4B" w:rsidP="001A2402">
      <w:pPr>
        <w:spacing w:after="0" w:line="240" w:lineRule="auto"/>
      </w:pPr>
      <w:r>
        <w:separator/>
      </w:r>
    </w:p>
  </w:footnote>
  <w:footnote w:type="continuationSeparator" w:id="0">
    <w:p w:rsidR="003F5D4B" w:rsidRDefault="003F5D4B" w:rsidP="001A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4022AE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A32380"/>
    <w:multiLevelType w:val="hybridMultilevel"/>
    <w:tmpl w:val="0F4E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1ED"/>
    <w:rsid w:val="00002B76"/>
    <w:rsid w:val="00003068"/>
    <w:rsid w:val="0000515D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37F6A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69FA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2FF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8D6"/>
    <w:rsid w:val="000E6F7F"/>
    <w:rsid w:val="000F0D4E"/>
    <w:rsid w:val="000F112E"/>
    <w:rsid w:val="000F2365"/>
    <w:rsid w:val="000F25E9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AAB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3E97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402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2EDD"/>
    <w:rsid w:val="001E41CE"/>
    <w:rsid w:val="001E4D09"/>
    <w:rsid w:val="001E6750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2F2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512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5F4"/>
    <w:rsid w:val="003478FE"/>
    <w:rsid w:val="00351521"/>
    <w:rsid w:val="00351522"/>
    <w:rsid w:val="00351751"/>
    <w:rsid w:val="00352124"/>
    <w:rsid w:val="00353F9E"/>
    <w:rsid w:val="00355310"/>
    <w:rsid w:val="003566C0"/>
    <w:rsid w:val="00357142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4B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668"/>
    <w:rsid w:val="004A28FD"/>
    <w:rsid w:val="004A2BD5"/>
    <w:rsid w:val="004A2F5E"/>
    <w:rsid w:val="004A3807"/>
    <w:rsid w:val="004A3B38"/>
    <w:rsid w:val="004A5175"/>
    <w:rsid w:val="004A5C3C"/>
    <w:rsid w:val="004A5E97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69F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D90"/>
    <w:rsid w:val="00516F3D"/>
    <w:rsid w:val="00521CB8"/>
    <w:rsid w:val="00521D1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27FA"/>
    <w:rsid w:val="005436B0"/>
    <w:rsid w:val="00545340"/>
    <w:rsid w:val="00546B60"/>
    <w:rsid w:val="00546ED4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A4F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1442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147"/>
    <w:rsid w:val="005A5C70"/>
    <w:rsid w:val="005A6FA0"/>
    <w:rsid w:val="005A72A7"/>
    <w:rsid w:val="005A7C59"/>
    <w:rsid w:val="005B0DFC"/>
    <w:rsid w:val="005B0F08"/>
    <w:rsid w:val="005B1993"/>
    <w:rsid w:val="005B215B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4C49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8C5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1FB6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9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B73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5A9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467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3DA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532B"/>
    <w:rsid w:val="007D6667"/>
    <w:rsid w:val="007E206A"/>
    <w:rsid w:val="007E24A5"/>
    <w:rsid w:val="007E47AB"/>
    <w:rsid w:val="007E52ED"/>
    <w:rsid w:val="007E56E1"/>
    <w:rsid w:val="007E603E"/>
    <w:rsid w:val="007E65C2"/>
    <w:rsid w:val="007E7A43"/>
    <w:rsid w:val="007E7F6D"/>
    <w:rsid w:val="007F02D8"/>
    <w:rsid w:val="007F110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6F4F"/>
    <w:rsid w:val="007F7064"/>
    <w:rsid w:val="007F7B78"/>
    <w:rsid w:val="00800155"/>
    <w:rsid w:val="00804414"/>
    <w:rsid w:val="0080487E"/>
    <w:rsid w:val="0080539A"/>
    <w:rsid w:val="0080593D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1FD1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172C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248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58A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553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334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53"/>
    <w:rsid w:val="00A008E5"/>
    <w:rsid w:val="00A01762"/>
    <w:rsid w:val="00A017D2"/>
    <w:rsid w:val="00A0286B"/>
    <w:rsid w:val="00A02A1A"/>
    <w:rsid w:val="00A03265"/>
    <w:rsid w:val="00A04188"/>
    <w:rsid w:val="00A04415"/>
    <w:rsid w:val="00A04496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6E38"/>
    <w:rsid w:val="00A97137"/>
    <w:rsid w:val="00A97EE9"/>
    <w:rsid w:val="00AA0411"/>
    <w:rsid w:val="00AA1D73"/>
    <w:rsid w:val="00AA35F1"/>
    <w:rsid w:val="00AA3605"/>
    <w:rsid w:val="00AA45DB"/>
    <w:rsid w:val="00AA4BD6"/>
    <w:rsid w:val="00AA5A13"/>
    <w:rsid w:val="00AA6607"/>
    <w:rsid w:val="00AA6EDD"/>
    <w:rsid w:val="00AA73C8"/>
    <w:rsid w:val="00AB2F1A"/>
    <w:rsid w:val="00AB498B"/>
    <w:rsid w:val="00AB5791"/>
    <w:rsid w:val="00AB590E"/>
    <w:rsid w:val="00AB5EF0"/>
    <w:rsid w:val="00AB6C06"/>
    <w:rsid w:val="00AC0E1B"/>
    <w:rsid w:val="00AC0F63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1E1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726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3A7F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A7A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AF9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943"/>
    <w:rsid w:val="00C02A67"/>
    <w:rsid w:val="00C03119"/>
    <w:rsid w:val="00C034FF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76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22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187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D1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5E8F"/>
    <w:rsid w:val="00E073FF"/>
    <w:rsid w:val="00E07E76"/>
    <w:rsid w:val="00E07FF5"/>
    <w:rsid w:val="00E10108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AE7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5724E"/>
    <w:rsid w:val="00E57693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4DED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5A45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387E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3BA1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0D7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2">
    <w:name w:val="Средняя заливка 1 - Акцент 12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1E2EDD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721B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E05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1A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240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A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0877820949237242"/>
          <c:y val="0.1395712530153384"/>
          <c:w val="0.57587949432085206"/>
          <c:h val="0.818481129165212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13,5%</c:v>
                </c:pt>
                <c:pt idx="1">
                  <c:v>единый сельскохозяйственный налог 19,7%</c:v>
                </c:pt>
                <c:pt idx="2">
                  <c:v>налог на имущество физических лиц 2,9%</c:v>
                </c:pt>
                <c:pt idx="3">
                  <c:v>земельный налог 14,3%</c:v>
                </c:pt>
                <c:pt idx="4">
                  <c:v>субсидии 31,3%</c:v>
                </c:pt>
                <c:pt idx="5">
                  <c:v>дотация 0,7</c:v>
                </c:pt>
                <c:pt idx="6">
                  <c:v>иные 
межбюджетные трансферты 7,5%</c:v>
                </c:pt>
                <c:pt idx="7">
                  <c:v>Акцизы 10,1%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13.5</c:v>
                </c:pt>
                <c:pt idx="1">
                  <c:v>19.7</c:v>
                </c:pt>
                <c:pt idx="2">
                  <c:v>2.9</c:v>
                </c:pt>
                <c:pt idx="3">
                  <c:v>14.3</c:v>
                </c:pt>
                <c:pt idx="4">
                  <c:v>31.3</c:v>
                </c:pt>
                <c:pt idx="5">
                  <c:v>0.70000000000000018</c:v>
                </c:pt>
                <c:pt idx="6">
                  <c:v>7.5</c:v>
                </c:pt>
                <c:pt idx="7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4.2212518195050952E-2"/>
          <c:y val="0.1233140655105973"/>
          <c:w val="0.30254481826135382"/>
          <c:h val="0.7428199798724581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0.31860827313941154"/>
          <c:y val="0.54240609754289193"/>
          <c:w val="0.65659833843083693"/>
          <c:h val="0.4377322256205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33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22,8%</c:v>
                </c:pt>
                <c:pt idx="1">
                  <c:v>единый сельскохозяйственный налог 32,9%</c:v>
                </c:pt>
                <c:pt idx="2">
                  <c:v>налог на имущество физических лиц 4,5%</c:v>
                </c:pt>
                <c:pt idx="3">
                  <c:v>земельный налог 22,6%</c:v>
                </c:pt>
                <c:pt idx="4">
                  <c:v>субсидии%</c:v>
                </c:pt>
                <c:pt idx="5">
                  <c:v>дотация 1,1</c:v>
                </c:pt>
                <c:pt idx="6">
                  <c:v>иные 
межбюджетные трансферты </c:v>
                </c:pt>
                <c:pt idx="7">
                  <c:v>Акцизы 16,1%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22.8</c:v>
                </c:pt>
                <c:pt idx="1">
                  <c:v>32.9</c:v>
                </c:pt>
                <c:pt idx="2">
                  <c:v>4.5</c:v>
                </c:pt>
                <c:pt idx="3">
                  <c:v>22.6</c:v>
                </c:pt>
                <c:pt idx="5">
                  <c:v>1.1000000000000001</c:v>
                </c:pt>
                <c:pt idx="7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"/>
          <c:y val="8.3455373163100463E-2"/>
          <c:w val="0.52750547710461848"/>
          <c:h val="0.43016934323887496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0.31860827313941154"/>
          <c:y val="0.54428933671426649"/>
          <c:w val="0.65659833843083715"/>
          <c:h val="0.4377322256205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33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20,0%</c:v>
                </c:pt>
                <c:pt idx="1">
                  <c:v>единый сельскохозяйственный налог 32,7%</c:v>
                </c:pt>
                <c:pt idx="2">
                  <c:v>налог на имущество физических лиц 4,2%</c:v>
                </c:pt>
                <c:pt idx="3">
                  <c:v>земельный налог 21,5%</c:v>
                </c:pt>
                <c:pt idx="4">
                  <c:v>субсидии%</c:v>
                </c:pt>
                <c:pt idx="5">
                  <c:v>дотация 1,0</c:v>
                </c:pt>
                <c:pt idx="6">
                  <c:v>иные 
межбюджетные трансферты </c:v>
                </c:pt>
                <c:pt idx="7">
                  <c:v>Акцизы 20,5%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32.700000000000003</c:v>
                </c:pt>
                <c:pt idx="2">
                  <c:v>4.2</c:v>
                </c:pt>
                <c:pt idx="3">
                  <c:v>21.5</c:v>
                </c:pt>
                <c:pt idx="5">
                  <c:v>1</c:v>
                </c:pt>
                <c:pt idx="7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"/>
          <c:y val="8.5338612334475164E-2"/>
          <c:w val="0.58811153771067859"/>
          <c:h val="0.40341741180657514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36471204878E-2"/>
          <c:y val="0.3180066210809047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0.10393074934187622"/>
                  <c:y val="-0.16159332160008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1 765,4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3734.7</c:v>
                </c:pt>
                <c:pt idx="1">
                  <c:v>6816.3</c:v>
                </c:pt>
                <c:pt idx="2" formatCode="General">
                  <c:v>1765.4</c:v>
                </c:pt>
                <c:pt idx="3">
                  <c:v>4132.3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4953722245288645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220276958923E-2"/>
          <c:y val="0.3187839267167038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0.14365758587525121"/>
                  <c:y val="-0.17354089310840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2 089,0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3834.9</c:v>
                </c:pt>
                <c:pt idx="1">
                  <c:v>1437.1</c:v>
                </c:pt>
                <c:pt idx="2" formatCode="General">
                  <c:v>2089</c:v>
                </c:pt>
                <c:pt idx="3">
                  <c:v>2914.2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7485111154167449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4038091129020704E-5"/>
          <c:y val="0.3187839267167038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0.14256806940228373"/>
                  <c:y val="-0.161439239215711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2 001,8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3964.8</c:v>
                </c:pt>
                <c:pt idx="1">
                  <c:v>1734.2</c:v>
                </c:pt>
                <c:pt idx="2">
                  <c:v>2001.8</c:v>
                </c:pt>
                <c:pt idx="3">
                  <c:v>2929.6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8291888080347393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518" custLinFactNeighborY="21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6124"/>
          <a:ext cx="9191625" cy="37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3440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848A-6D8B-4D29-8BBF-38027188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47</cp:revision>
  <cp:lastPrinted>2023-11-15T10:17:00Z</cp:lastPrinted>
  <dcterms:created xsi:type="dcterms:W3CDTF">2021-11-18T12:12:00Z</dcterms:created>
  <dcterms:modified xsi:type="dcterms:W3CDTF">2023-11-22T14:54:00Z</dcterms:modified>
</cp:coreProperties>
</file>