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763E72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Липовского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763E72">
              <w:t>Липовского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10489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104896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0408CF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0408CF">
        <w:rPr>
          <w:b/>
          <w:color w:val="244061" w:themeColor="accent1" w:themeShade="80"/>
          <w:sz w:val="28"/>
          <w:szCs w:val="28"/>
        </w:rPr>
        <w:t>Итоги</w:t>
      </w:r>
      <w:r w:rsidR="00746CD1" w:rsidRPr="000408CF">
        <w:rPr>
          <w:b/>
          <w:color w:val="244061" w:themeColor="accent1" w:themeShade="80"/>
          <w:sz w:val="28"/>
          <w:szCs w:val="28"/>
        </w:rPr>
        <w:t xml:space="preserve"> </w:t>
      </w:r>
      <w:r w:rsidRPr="000408CF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F55A46" w:rsidRPr="000408CF">
        <w:rPr>
          <w:b/>
          <w:color w:val="244061" w:themeColor="accent1" w:themeShade="80"/>
          <w:sz w:val="28"/>
          <w:szCs w:val="28"/>
        </w:rPr>
        <w:t>за 2019</w:t>
      </w:r>
      <w:r w:rsidRPr="000408CF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E563D6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E563D6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392ADD" w:rsidRPr="00E563D6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F55A46" w:rsidRPr="00D1177C" w:rsidRDefault="00F55A46" w:rsidP="00F5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1177C">
              <w:rPr>
                <w:sz w:val="28"/>
                <w:szCs w:val="28"/>
              </w:rPr>
              <w:t>1. Объем валовой продукции сельского хозяйства за  201</w:t>
            </w:r>
            <w:r>
              <w:rPr>
                <w:sz w:val="28"/>
                <w:szCs w:val="28"/>
              </w:rPr>
              <w:t>9</w:t>
            </w:r>
            <w:r w:rsidRPr="00D1177C">
              <w:rPr>
                <w:sz w:val="28"/>
                <w:szCs w:val="28"/>
              </w:rPr>
              <w:t xml:space="preserve"> год составил </w:t>
            </w:r>
            <w:r>
              <w:rPr>
                <w:sz w:val="28"/>
                <w:szCs w:val="28"/>
              </w:rPr>
              <w:t>422,4</w:t>
            </w:r>
            <w:r w:rsidRPr="00D1177C">
              <w:rPr>
                <w:sz w:val="28"/>
                <w:szCs w:val="28"/>
              </w:rPr>
              <w:t xml:space="preserve"> млн</w:t>
            </w:r>
            <w:proofErr w:type="gramStart"/>
            <w:r w:rsidRPr="00D1177C">
              <w:rPr>
                <w:sz w:val="28"/>
                <w:szCs w:val="28"/>
              </w:rPr>
              <w:t>.р</w:t>
            </w:r>
            <w:proofErr w:type="gramEnd"/>
            <w:r w:rsidRPr="00D1177C">
              <w:rPr>
                <w:sz w:val="28"/>
                <w:szCs w:val="28"/>
              </w:rPr>
              <w:t xml:space="preserve">уб., или </w:t>
            </w:r>
            <w:r>
              <w:rPr>
                <w:sz w:val="28"/>
                <w:szCs w:val="28"/>
              </w:rPr>
              <w:t>100,1</w:t>
            </w:r>
            <w:r w:rsidRPr="00D1177C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F55A46" w:rsidRPr="00D1177C" w:rsidRDefault="00F55A46" w:rsidP="00F55A46">
            <w:pPr>
              <w:ind w:left="990"/>
              <w:jc w:val="both"/>
              <w:rPr>
                <w:sz w:val="28"/>
                <w:szCs w:val="28"/>
              </w:rPr>
            </w:pPr>
          </w:p>
          <w:p w:rsidR="00F55A46" w:rsidRPr="00D1177C" w:rsidRDefault="00F55A46" w:rsidP="00F55A46">
            <w:pPr>
              <w:ind w:firstLine="360"/>
              <w:jc w:val="both"/>
              <w:rPr>
                <w:sz w:val="28"/>
                <w:szCs w:val="28"/>
              </w:rPr>
            </w:pPr>
            <w:r w:rsidRPr="00D1177C">
              <w:rPr>
                <w:sz w:val="28"/>
                <w:szCs w:val="28"/>
              </w:rPr>
              <w:t>2.</w:t>
            </w:r>
            <w:r w:rsidRPr="00D1177C">
              <w:rPr>
                <w:color w:val="FF0000"/>
                <w:sz w:val="28"/>
                <w:szCs w:val="28"/>
              </w:rPr>
              <w:t xml:space="preserve"> </w:t>
            </w:r>
            <w:r w:rsidRPr="00D1177C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107,2</w:t>
            </w:r>
            <w:r w:rsidRPr="00D1177C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104,8</w:t>
            </w:r>
            <w:r w:rsidRPr="00D1177C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F55A46" w:rsidRPr="00D1177C" w:rsidRDefault="00F55A46" w:rsidP="00F55A4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1177C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D1177C">
              <w:rPr>
                <w:sz w:val="28"/>
                <w:szCs w:val="28"/>
              </w:rPr>
              <w:t xml:space="preserve">год реализовано продукции на сумму </w:t>
            </w:r>
            <w:r>
              <w:rPr>
                <w:sz w:val="28"/>
                <w:szCs w:val="28"/>
              </w:rPr>
              <w:t>3,3</w:t>
            </w:r>
            <w:r w:rsidRPr="00D1177C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103,7</w:t>
            </w:r>
            <w:r w:rsidRPr="00D1177C">
              <w:rPr>
                <w:sz w:val="28"/>
                <w:szCs w:val="28"/>
              </w:rPr>
              <w:t xml:space="preserve"> % к аналогичному периоду уровня прошлого года.</w:t>
            </w:r>
          </w:p>
          <w:p w:rsidR="00F55A46" w:rsidRPr="00D1177C" w:rsidRDefault="00F55A46" w:rsidP="00F55A46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D1177C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D1177C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16240,6</w:t>
            </w:r>
            <w:r w:rsidRPr="00D1177C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D1177C">
              <w:rPr>
                <w:sz w:val="28"/>
                <w:szCs w:val="28"/>
              </w:rPr>
              <w:t>%.</w:t>
            </w:r>
          </w:p>
          <w:p w:rsidR="00F55A46" w:rsidRPr="00D1177C" w:rsidRDefault="00F55A46" w:rsidP="00F55A46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D1177C">
              <w:rPr>
                <w:iCs/>
                <w:sz w:val="28"/>
                <w:szCs w:val="28"/>
              </w:rPr>
              <w:t>5. Валовой внутренний продукт, по сравнению с 201</w:t>
            </w:r>
            <w:r>
              <w:rPr>
                <w:iCs/>
                <w:sz w:val="28"/>
                <w:szCs w:val="28"/>
              </w:rPr>
              <w:t>8</w:t>
            </w:r>
            <w:r w:rsidRPr="00D1177C">
              <w:rPr>
                <w:iCs/>
                <w:sz w:val="28"/>
                <w:szCs w:val="28"/>
              </w:rPr>
              <w:t xml:space="preserve"> годом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D1177C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1,1</w:t>
            </w:r>
            <w:r w:rsidRPr="00D1177C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532,9</w:t>
            </w:r>
            <w:r w:rsidRPr="00D1177C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D1177C">
              <w:rPr>
                <w:iCs/>
                <w:sz w:val="28"/>
                <w:szCs w:val="28"/>
              </w:rPr>
              <w:t>.р</w:t>
            </w:r>
            <w:proofErr w:type="gramEnd"/>
            <w:r w:rsidRPr="00D1177C">
              <w:rPr>
                <w:iCs/>
                <w:sz w:val="28"/>
                <w:szCs w:val="28"/>
              </w:rPr>
              <w:t>уб.</w:t>
            </w:r>
          </w:p>
          <w:p w:rsidR="00746CD1" w:rsidRPr="00E563D6" w:rsidRDefault="00746CD1" w:rsidP="00F55A46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E563D6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E563D6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2A50BE" w:rsidRPr="00E563D6">
        <w:rPr>
          <w:b/>
          <w:color w:val="244061" w:themeColor="accent1" w:themeShade="80"/>
          <w:u w:val="single"/>
        </w:rPr>
        <w:t>СИРОВАНИЮ ЗА СЧЕТ БЮДЖЕТА В 2019</w:t>
      </w:r>
      <w:r w:rsidRPr="00E563D6">
        <w:rPr>
          <w:b/>
          <w:color w:val="244061" w:themeColor="accent1" w:themeShade="80"/>
          <w:u w:val="single"/>
        </w:rPr>
        <w:t xml:space="preserve"> ГОДУ</w:t>
      </w:r>
    </w:p>
    <w:p w:rsidR="0064462B" w:rsidRPr="00E563D6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C83A64">
        <w:trPr>
          <w:cnfStyle w:val="100000000000"/>
        </w:trPr>
        <w:tc>
          <w:tcPr>
            <w:cnfStyle w:val="001000000000"/>
            <w:tcW w:w="10989" w:type="dxa"/>
          </w:tcPr>
          <w:p w:rsidR="00C83A64" w:rsidRPr="00E563D6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2A50BE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2019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763E72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Липовского</w:t>
            </w:r>
            <w:proofErr w:type="spellEnd"/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C76DFD" w:rsidRPr="00E92659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E92659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E92659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E92659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E92659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E92659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E92659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E92659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E92659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E92659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E92659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E92659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C76DFD" w:rsidRPr="0064462B" w:rsidTr="0064462B">
        <w:trPr>
          <w:trHeight w:val="807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F7287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7,3</w:t>
            </w:r>
          </w:p>
        </w:tc>
        <w:tc>
          <w:tcPr>
            <w:tcW w:w="1983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6,5</w:t>
            </w:r>
          </w:p>
        </w:tc>
      </w:tr>
      <w:tr w:rsidR="00C76DFD" w:rsidRPr="0064462B" w:rsidTr="0064462B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7,4</w:t>
            </w:r>
          </w:p>
        </w:tc>
        <w:tc>
          <w:tcPr>
            <w:tcW w:w="1983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6,4</w:t>
            </w:r>
          </w:p>
        </w:tc>
      </w:tr>
      <w:tr w:rsidR="00C76DFD" w:rsidRPr="0064462B" w:rsidTr="0064462B">
        <w:trPr>
          <w:trHeight w:val="1200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285,8</w:t>
            </w:r>
          </w:p>
        </w:tc>
        <w:tc>
          <w:tcPr>
            <w:tcW w:w="1983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133,4</w:t>
            </w:r>
          </w:p>
        </w:tc>
      </w:tr>
      <w:tr w:rsidR="00C76DFD" w:rsidRPr="0064462B" w:rsidTr="0064462B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2 854,7</w:t>
            </w:r>
          </w:p>
        </w:tc>
        <w:tc>
          <w:tcPr>
            <w:tcW w:w="1983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2 479,7</w:t>
            </w:r>
          </w:p>
        </w:tc>
      </w:tr>
      <w:tr w:rsidR="00C76DFD" w:rsidRPr="0064462B" w:rsidTr="0064462B">
        <w:trPr>
          <w:trHeight w:val="1658"/>
        </w:trPr>
        <w:tc>
          <w:tcPr>
            <w:cnfStyle w:val="001000000000"/>
            <w:tcW w:w="865" w:type="dxa"/>
          </w:tcPr>
          <w:p w:rsidR="00C76DFD" w:rsidRPr="0064462B" w:rsidRDefault="005623A1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650,7</w:t>
            </w:r>
          </w:p>
        </w:tc>
        <w:tc>
          <w:tcPr>
            <w:tcW w:w="1983" w:type="dxa"/>
          </w:tcPr>
          <w:p w:rsidR="00C76DFD" w:rsidRPr="00D53865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80746B">
              <w:rPr>
                <w:b/>
                <w:i/>
                <w:sz w:val="24"/>
                <w:szCs w:val="24"/>
              </w:rPr>
              <w:t>47,5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5623A1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C76DFD" w:rsidRPr="0064462B" w:rsidTr="0064462B">
        <w:trPr>
          <w:trHeight w:val="2073"/>
        </w:trPr>
        <w:tc>
          <w:tcPr>
            <w:cnfStyle w:val="001000000000"/>
            <w:tcW w:w="865" w:type="dxa"/>
          </w:tcPr>
          <w:p w:rsidR="00C76DFD" w:rsidRPr="0064462B" w:rsidRDefault="005623A1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</w:t>
            </w:r>
            <w:r w:rsidR="00CF2D86" w:rsidRPr="0064462B">
              <w:rPr>
                <w:i/>
                <w:sz w:val="24"/>
                <w:szCs w:val="24"/>
              </w:rPr>
              <w:t>ды бюджета муниципального образования</w:t>
            </w:r>
            <w:r w:rsidRPr="0064462B">
              <w:rPr>
                <w:i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016AFD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2 678,3</w:t>
            </w:r>
          </w:p>
        </w:tc>
        <w:tc>
          <w:tcPr>
            <w:tcW w:w="1983" w:type="dxa"/>
          </w:tcPr>
          <w:p w:rsidR="00C76DFD" w:rsidRPr="00016AFD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2 665,3</w:t>
            </w:r>
          </w:p>
        </w:tc>
      </w:tr>
      <w:tr w:rsidR="00E90C4F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E90C4F" w:rsidRPr="0064462B" w:rsidRDefault="005623A1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E90C4F" w:rsidRPr="0064462B" w:rsidRDefault="00E90C4F" w:rsidP="002A50BE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E90C4F" w:rsidRPr="0064462B" w:rsidRDefault="00E90C4F" w:rsidP="002A50B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E90C4F" w:rsidRPr="00016AFD" w:rsidRDefault="00E90C4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90C4F" w:rsidRPr="00016AFD" w:rsidRDefault="005623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EC0171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EC0171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104896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EC0171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763E72" w:rsidRPr="00C50AD7" w:rsidTr="00763E72">
        <w:trPr>
          <w:cnfStyle w:val="100000000000"/>
        </w:trPr>
        <w:tc>
          <w:tcPr>
            <w:cnfStyle w:val="001000000000"/>
            <w:tcW w:w="730" w:type="dxa"/>
          </w:tcPr>
          <w:p w:rsidR="00763E72" w:rsidRPr="00C50AD7" w:rsidRDefault="00763E72" w:rsidP="002A50B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5919" w:type="dxa"/>
          </w:tcPr>
          <w:p w:rsidR="00763E72" w:rsidRPr="00C50AD7" w:rsidRDefault="00763E72" w:rsidP="002A50B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526" w:type="dxa"/>
            <w:vAlign w:val="center"/>
          </w:tcPr>
          <w:p w:rsidR="00763E72" w:rsidRPr="0064462B" w:rsidRDefault="00763E72" w:rsidP="002A50BE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526" w:type="dxa"/>
            <w:vAlign w:val="center"/>
          </w:tcPr>
          <w:p w:rsidR="00763E72" w:rsidRPr="0064462B" w:rsidRDefault="00763E72" w:rsidP="002A50B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763E72" w:rsidRPr="00C50AD7" w:rsidRDefault="00763E72" w:rsidP="002A50B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526" w:type="dxa"/>
          </w:tcPr>
          <w:p w:rsidR="00763E72" w:rsidRPr="001E7EF4" w:rsidRDefault="00104896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5 168,0</w:t>
            </w:r>
          </w:p>
        </w:tc>
        <w:tc>
          <w:tcPr>
            <w:cnfStyle w:val="000010000000"/>
            <w:tcW w:w="1526" w:type="dxa"/>
          </w:tcPr>
          <w:p w:rsidR="00763E72" w:rsidRPr="001E7EF4" w:rsidRDefault="00104896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3 896,6</w:t>
            </w:r>
          </w:p>
        </w:tc>
        <w:tc>
          <w:tcPr>
            <w:tcW w:w="1321" w:type="dxa"/>
          </w:tcPr>
          <w:p w:rsidR="00763E72" w:rsidRPr="001E7EF4" w:rsidRDefault="00763E72" w:rsidP="00104896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104896">
              <w:rPr>
                <w:b/>
                <w:bCs/>
                <w:i/>
                <w:iCs/>
              </w:rPr>
              <w:t>5,4</w:t>
            </w:r>
            <w:r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763E72" w:rsidRPr="001E7EF4" w:rsidRDefault="00104896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829,5</w:t>
            </w:r>
          </w:p>
        </w:tc>
        <w:tc>
          <w:tcPr>
            <w:cnfStyle w:val="000010000000"/>
            <w:tcW w:w="1526" w:type="dxa"/>
          </w:tcPr>
          <w:p w:rsidR="00763E72" w:rsidRPr="001E7EF4" w:rsidRDefault="00104896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724,2</w:t>
            </w:r>
          </w:p>
        </w:tc>
        <w:tc>
          <w:tcPr>
            <w:tcW w:w="1321" w:type="dxa"/>
          </w:tcPr>
          <w:p w:rsidR="00763E72" w:rsidRPr="001E7EF4" w:rsidRDefault="00104896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87,3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526" w:type="dxa"/>
          </w:tcPr>
          <w:p w:rsidR="00763E72" w:rsidRPr="001E7EF4" w:rsidRDefault="00104896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548,1</w:t>
            </w:r>
          </w:p>
        </w:tc>
        <w:tc>
          <w:tcPr>
            <w:cnfStyle w:val="000010000000"/>
            <w:tcW w:w="1526" w:type="dxa"/>
          </w:tcPr>
          <w:p w:rsidR="00763E72" w:rsidRPr="001E7EF4" w:rsidRDefault="00104896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274,5</w:t>
            </w:r>
          </w:p>
        </w:tc>
        <w:tc>
          <w:tcPr>
            <w:tcW w:w="1321" w:type="dxa"/>
          </w:tcPr>
          <w:p w:rsidR="00763E72" w:rsidRPr="001E7EF4" w:rsidRDefault="00104896" w:rsidP="00104896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526" w:type="dxa"/>
          </w:tcPr>
          <w:p w:rsidR="00763E72" w:rsidRPr="001E7EF4" w:rsidRDefault="00104896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398,1</w:t>
            </w:r>
          </w:p>
        </w:tc>
        <w:tc>
          <w:tcPr>
            <w:cnfStyle w:val="000010000000"/>
            <w:tcW w:w="1526" w:type="dxa"/>
          </w:tcPr>
          <w:p w:rsidR="00763E72" w:rsidRPr="001E7EF4" w:rsidRDefault="00104896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189,4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47,6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Земельный налог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3 390,,5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2 706,3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79,8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trHeight w:val="592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Государственная пошлина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1,8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2,1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116,6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55,8</w:t>
            </w: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5 223,8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3 896,6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74,5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9 821,8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9 648,7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98,2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 xml:space="preserve"> Дотация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102,5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102,5</w:t>
            </w: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Субсидия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Субвенция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9 507,0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9 333,8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98,2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Прочие доходы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Возвраты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526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15 045,6</w:t>
            </w:r>
          </w:p>
        </w:tc>
        <w:tc>
          <w:tcPr>
            <w:cnfStyle w:val="000010000000"/>
            <w:tcW w:w="1526" w:type="dxa"/>
          </w:tcPr>
          <w:p w:rsidR="00763E72" w:rsidRPr="001E7EF4" w:rsidRDefault="00FD5B22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13 545,3</w:t>
            </w:r>
          </w:p>
        </w:tc>
        <w:tc>
          <w:tcPr>
            <w:tcW w:w="1321" w:type="dxa"/>
          </w:tcPr>
          <w:p w:rsidR="00763E72" w:rsidRPr="001E7EF4" w:rsidRDefault="00FD5B22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90,0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E92659">
        <w:rPr>
          <w:b/>
          <w:color w:val="244061" w:themeColor="accent1" w:themeShade="80"/>
          <w:sz w:val="28"/>
          <w:szCs w:val="28"/>
          <w:u w:val="single"/>
        </w:rPr>
        <w:t>бюджета за 2019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414337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2A50BE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F0337A" w:rsidRPr="0064462B" w:rsidTr="002A50BE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6 514,7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5 706,2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87,6</w:t>
            </w:r>
          </w:p>
        </w:tc>
      </w:tr>
      <w:tr w:rsidR="00F0337A" w:rsidRPr="0064462B" w:rsidTr="002A50BE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5 530,8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5 503,8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983,9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</w:tcPr>
          <w:p w:rsidR="00F0337A" w:rsidRPr="0064462B" w:rsidRDefault="00F0337A" w:rsidP="002A50B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F0337A" w:rsidRPr="0064462B" w:rsidRDefault="00F0337A" w:rsidP="002A50BE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1 996,2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1 996,2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F0337A" w:rsidRPr="0064462B" w:rsidRDefault="00F0337A" w:rsidP="002A50BE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F0337A" w:rsidRPr="0064462B" w:rsidRDefault="00F0337A" w:rsidP="002A50BE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1 758,2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1 758,2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275,4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46,7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5 894,9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5 120,5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86,9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5 894,9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5 120,5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15 203,3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13 305,6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87,5</w:t>
            </w:r>
          </w:p>
        </w:tc>
      </w:tr>
      <w:tr w:rsidR="00F0337A" w:rsidRPr="0064462B" w:rsidTr="002A50BE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F0337A" w:rsidRPr="0064462B" w:rsidRDefault="00F0337A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-157,7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890" w:type="dxa"/>
          </w:tcPr>
          <w:p w:rsidR="00F0337A" w:rsidRDefault="00F0337A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2A50BE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A50BE" w:rsidRDefault="002A50B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A50BE" w:rsidRDefault="002A50B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2A50BE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177BD2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600C34" w:rsidRPr="0064462B" w:rsidTr="002A50BE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600C34" w:rsidRPr="0064462B" w:rsidRDefault="00600C34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00C34" w:rsidRPr="00F0337A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984" w:type="dxa"/>
            <w:vAlign w:val="center"/>
          </w:tcPr>
          <w:p w:rsidR="00600C34" w:rsidRPr="00F0337A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-239,7</w:t>
            </w:r>
          </w:p>
        </w:tc>
      </w:tr>
      <w:tr w:rsidR="00600C34" w:rsidRPr="0064462B" w:rsidTr="002A50BE">
        <w:trPr>
          <w:trHeight w:val="1420"/>
        </w:trPr>
        <w:tc>
          <w:tcPr>
            <w:cnfStyle w:val="001000000000"/>
            <w:tcW w:w="3168" w:type="dxa"/>
          </w:tcPr>
          <w:p w:rsidR="00600C34" w:rsidRPr="0064462B" w:rsidRDefault="00600C34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600C34" w:rsidRPr="00600C34" w:rsidRDefault="00600C34" w:rsidP="00600C3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600C34">
              <w:rPr>
                <w:color w:val="000000"/>
                <w:sz w:val="24"/>
                <w:szCs w:val="24"/>
              </w:rPr>
              <w:t xml:space="preserve">-  </w:t>
            </w:r>
            <w:r w:rsidR="00177BD2">
              <w:rPr>
                <w:color w:val="000000"/>
                <w:sz w:val="24"/>
                <w:szCs w:val="24"/>
              </w:rPr>
              <w:t>15 045,6</w:t>
            </w:r>
          </w:p>
        </w:tc>
        <w:tc>
          <w:tcPr>
            <w:tcW w:w="1984" w:type="dxa"/>
            <w:vAlign w:val="center"/>
          </w:tcPr>
          <w:p w:rsidR="00600C34" w:rsidRPr="00600C34" w:rsidRDefault="00177BD2" w:rsidP="00600C3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- 13 662,1</w:t>
            </w:r>
          </w:p>
        </w:tc>
      </w:tr>
      <w:tr w:rsidR="00600C34" w:rsidRPr="0064462B" w:rsidTr="002A50BE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600C34" w:rsidRPr="0064462B" w:rsidRDefault="00600C34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600C34" w:rsidRPr="00600C34" w:rsidRDefault="00600C34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600C34" w:rsidRPr="00600C34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15 203,3</w:t>
            </w:r>
          </w:p>
        </w:tc>
        <w:tc>
          <w:tcPr>
            <w:tcW w:w="1984" w:type="dxa"/>
            <w:vAlign w:val="center"/>
          </w:tcPr>
          <w:p w:rsidR="00177BD2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600C34" w:rsidRPr="00600C34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13 422,4</w:t>
            </w:r>
          </w:p>
        </w:tc>
      </w:tr>
      <w:tr w:rsidR="00600C34" w:rsidRPr="0064462B" w:rsidTr="002A50BE">
        <w:trPr>
          <w:trHeight w:val="482"/>
        </w:trPr>
        <w:tc>
          <w:tcPr>
            <w:cnfStyle w:val="001000000000"/>
            <w:tcW w:w="3168" w:type="dxa"/>
          </w:tcPr>
          <w:p w:rsidR="00600C34" w:rsidRPr="0064462B" w:rsidRDefault="00600C34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0C34" w:rsidRPr="00600C34" w:rsidRDefault="00177BD2" w:rsidP="00600C34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984" w:type="dxa"/>
            <w:vAlign w:val="center"/>
          </w:tcPr>
          <w:p w:rsidR="00600C34" w:rsidRPr="00600C34" w:rsidRDefault="00177BD2" w:rsidP="00600C34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-239,7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177BD2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471"/>
        <w:gridCol w:w="1560"/>
        <w:gridCol w:w="1417"/>
        <w:gridCol w:w="58"/>
        <w:gridCol w:w="1476"/>
      </w:tblGrid>
      <w:tr w:rsidR="005968F5" w:rsidRPr="0064462B" w:rsidTr="00386467">
        <w:trPr>
          <w:cnfStyle w:val="100000000000"/>
          <w:trHeight w:val="1456"/>
        </w:trPr>
        <w:tc>
          <w:tcPr>
            <w:cnfStyle w:val="001000000000"/>
            <w:tcW w:w="10856" w:type="dxa"/>
            <w:gridSpan w:val="6"/>
            <w:hideMark/>
          </w:tcPr>
          <w:p w:rsidR="005968F5" w:rsidRDefault="005968F5" w:rsidP="005968F5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5968F5" w:rsidRPr="0064462B" w:rsidRDefault="005968F5" w:rsidP="005968F5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Липовского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86467" w:rsidRPr="0064462B" w:rsidTr="00805E6B">
        <w:trPr>
          <w:cnfStyle w:val="000000100000"/>
          <w:trHeight w:val="685"/>
        </w:trPr>
        <w:tc>
          <w:tcPr>
            <w:cnfStyle w:val="001000000000"/>
            <w:tcW w:w="7905" w:type="dxa"/>
            <w:gridSpan w:val="3"/>
            <w:shd w:val="clear" w:color="auto" w:fill="8DB3E2" w:themeFill="text2" w:themeFillTint="66"/>
            <w:hideMark/>
          </w:tcPr>
          <w:p w:rsidR="00386467" w:rsidRPr="00D02A94" w:rsidRDefault="00386467" w:rsidP="0038646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386467" w:rsidRDefault="00386467" w:rsidP="005968F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951" w:type="dxa"/>
            <w:gridSpan w:val="3"/>
            <w:shd w:val="clear" w:color="auto" w:fill="8DB3E2" w:themeFill="text2" w:themeFillTint="66"/>
          </w:tcPr>
          <w:p w:rsidR="00386467" w:rsidRDefault="00386467" w:rsidP="00386467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86467" w:rsidRPr="0064462B" w:rsidRDefault="00386467" w:rsidP="00386467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386467" w:rsidRPr="0064462B" w:rsidTr="00386467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86467" w:rsidRPr="00D02A94" w:rsidRDefault="00386467" w:rsidP="0038646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86467" w:rsidRPr="00DC086B" w:rsidRDefault="00386467" w:rsidP="0038646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34" w:type="dxa"/>
            <w:gridSpan w:val="2"/>
            <w:shd w:val="clear" w:color="auto" w:fill="DBE5F1" w:themeFill="accent1" w:themeFillTint="33"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86467" w:rsidRPr="0064462B" w:rsidTr="00386467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86467" w:rsidRPr="00386467" w:rsidRDefault="00386467" w:rsidP="00386467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9F5868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386467" w:rsidRPr="0028230A" w:rsidRDefault="009F5868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1 780,0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86467" w:rsidRPr="0028230A" w:rsidRDefault="009F5868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1 780,0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386467" w:rsidRPr="0028230A" w:rsidRDefault="00805E6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706,3</w:t>
            </w:r>
          </w:p>
        </w:tc>
        <w:tc>
          <w:tcPr>
            <w:tcW w:w="1534" w:type="dxa"/>
            <w:gridSpan w:val="2"/>
            <w:shd w:val="clear" w:color="auto" w:fill="DBE5F1" w:themeFill="accent1" w:themeFillTint="33"/>
          </w:tcPr>
          <w:p w:rsidR="00386467" w:rsidRPr="0028230A" w:rsidRDefault="00805E6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706,3</w:t>
            </w:r>
          </w:p>
        </w:tc>
      </w:tr>
      <w:tr w:rsidR="00386467" w:rsidRPr="0064462B" w:rsidTr="00386467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86467" w:rsidRDefault="00386467" w:rsidP="00386467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Липовского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 </w:t>
            </w:r>
            <w:proofErr w:type="gramStart"/>
            <w:r w:rsidR="009F5868">
              <w:rPr>
                <w:b w:val="0"/>
                <w:i/>
                <w:color w:val="000000"/>
              </w:rPr>
              <w:t>км</w:t>
            </w:r>
            <w:proofErr w:type="gramEnd"/>
            <w:r w:rsidR="009F5868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386467" w:rsidRDefault="009F5868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31,3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86467" w:rsidRDefault="009F5868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31,3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386467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572,6</w:t>
            </w:r>
          </w:p>
        </w:tc>
        <w:tc>
          <w:tcPr>
            <w:tcW w:w="1534" w:type="dxa"/>
            <w:gridSpan w:val="2"/>
            <w:shd w:val="clear" w:color="auto" w:fill="DBE5F1" w:themeFill="accent1" w:themeFillTint="33"/>
          </w:tcPr>
          <w:p w:rsidR="00386467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572,6</w:t>
            </w:r>
          </w:p>
        </w:tc>
      </w:tr>
      <w:tr w:rsidR="00386467" w:rsidRPr="0064462B" w:rsidTr="00386467">
        <w:trPr>
          <w:cnfStyle w:val="000000100000"/>
          <w:trHeight w:val="1456"/>
        </w:trPr>
        <w:tc>
          <w:tcPr>
            <w:cnfStyle w:val="001000000000"/>
            <w:tcW w:w="10856" w:type="dxa"/>
            <w:gridSpan w:val="6"/>
            <w:hideMark/>
          </w:tcPr>
          <w:p w:rsidR="00386467" w:rsidRDefault="00386467" w:rsidP="005968F5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386467" w:rsidRPr="0064462B" w:rsidRDefault="00386467" w:rsidP="005968F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Липовского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05E6B" w:rsidRPr="0064462B" w:rsidTr="00805E6B">
        <w:trPr>
          <w:trHeight w:val="733"/>
        </w:trPr>
        <w:tc>
          <w:tcPr>
            <w:cnfStyle w:val="001000000000"/>
            <w:tcW w:w="7905" w:type="dxa"/>
            <w:gridSpan w:val="3"/>
            <w:shd w:val="clear" w:color="auto" w:fill="8DB3E2" w:themeFill="text2" w:themeFillTint="66"/>
            <w:hideMark/>
          </w:tcPr>
          <w:p w:rsidR="00805E6B" w:rsidRPr="00D02A94" w:rsidRDefault="00805E6B" w:rsidP="00B24F35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05E6B" w:rsidRDefault="00805E6B" w:rsidP="00B24F3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951" w:type="dxa"/>
            <w:gridSpan w:val="3"/>
            <w:shd w:val="clear" w:color="auto" w:fill="8DB3E2" w:themeFill="text2" w:themeFillTint="66"/>
          </w:tcPr>
          <w:p w:rsidR="00805E6B" w:rsidRDefault="00805E6B" w:rsidP="00B24F35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05E6B" w:rsidRPr="0064462B" w:rsidRDefault="00805E6B" w:rsidP="00B24F35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05E6B" w:rsidRPr="0064462B" w:rsidTr="00805E6B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05E6B" w:rsidRPr="00D02A94" w:rsidRDefault="00805E6B" w:rsidP="0038646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05E6B" w:rsidRPr="00DC086B" w:rsidRDefault="00805E6B" w:rsidP="0038646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05E6B" w:rsidRPr="007B552D" w:rsidRDefault="00805E6B" w:rsidP="00386467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05E6B" w:rsidRPr="007B552D" w:rsidRDefault="00805E6B" w:rsidP="00386467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75" w:type="dxa"/>
            <w:gridSpan w:val="2"/>
            <w:shd w:val="clear" w:color="auto" w:fill="DBE5F1" w:themeFill="accent1" w:themeFillTint="33"/>
            <w:hideMark/>
          </w:tcPr>
          <w:p w:rsidR="00805E6B" w:rsidRPr="007B552D" w:rsidRDefault="00805E6B" w:rsidP="00B24F3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76" w:type="dxa"/>
            <w:shd w:val="clear" w:color="auto" w:fill="DBE5F1" w:themeFill="accent1" w:themeFillTint="33"/>
          </w:tcPr>
          <w:p w:rsidR="00805E6B" w:rsidRPr="007B552D" w:rsidRDefault="00805E6B" w:rsidP="00B24F3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05E6B" w:rsidRPr="0064462B" w:rsidTr="00B24F35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05E6B" w:rsidRDefault="00805E6B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805E6B" w:rsidRDefault="00805E6B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805E6B" w:rsidRDefault="00805E6B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805E6B" w:rsidRDefault="00805E6B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805E6B" w:rsidRDefault="00805E6B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805E6B" w:rsidRPr="005968F5" w:rsidRDefault="00805E6B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75" w:type="dxa"/>
            <w:gridSpan w:val="2"/>
            <w:hideMark/>
          </w:tcPr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561,9</w:t>
            </w:r>
          </w:p>
        </w:tc>
        <w:tc>
          <w:tcPr>
            <w:tcW w:w="1476" w:type="dxa"/>
          </w:tcPr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255,4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2BC1"/>
    <w:rsid w:val="00016AFD"/>
    <w:rsid w:val="000408CF"/>
    <w:rsid w:val="0004351D"/>
    <w:rsid w:val="00044A6E"/>
    <w:rsid w:val="0006144C"/>
    <w:rsid w:val="00072092"/>
    <w:rsid w:val="000721A5"/>
    <w:rsid w:val="00076CCD"/>
    <w:rsid w:val="00081341"/>
    <w:rsid w:val="000854F6"/>
    <w:rsid w:val="000A1E86"/>
    <w:rsid w:val="000A2515"/>
    <w:rsid w:val="000F2212"/>
    <w:rsid w:val="000F336E"/>
    <w:rsid w:val="00102C3B"/>
    <w:rsid w:val="00104896"/>
    <w:rsid w:val="001110BC"/>
    <w:rsid w:val="001174E7"/>
    <w:rsid w:val="0016164F"/>
    <w:rsid w:val="001739A2"/>
    <w:rsid w:val="00177BD2"/>
    <w:rsid w:val="00183C72"/>
    <w:rsid w:val="00187BF5"/>
    <w:rsid w:val="001B5383"/>
    <w:rsid w:val="001C1EE3"/>
    <w:rsid w:val="001C5E40"/>
    <w:rsid w:val="001D2034"/>
    <w:rsid w:val="001E3CC1"/>
    <w:rsid w:val="001F044D"/>
    <w:rsid w:val="00237CDD"/>
    <w:rsid w:val="00270BF8"/>
    <w:rsid w:val="0028230A"/>
    <w:rsid w:val="002A2D82"/>
    <w:rsid w:val="002A50BE"/>
    <w:rsid w:val="003522FB"/>
    <w:rsid w:val="0035571E"/>
    <w:rsid w:val="00366682"/>
    <w:rsid w:val="00366B52"/>
    <w:rsid w:val="00367AE0"/>
    <w:rsid w:val="00386467"/>
    <w:rsid w:val="00392ADD"/>
    <w:rsid w:val="00394390"/>
    <w:rsid w:val="0039521B"/>
    <w:rsid w:val="003B1F50"/>
    <w:rsid w:val="0044380E"/>
    <w:rsid w:val="00446D97"/>
    <w:rsid w:val="00450B6D"/>
    <w:rsid w:val="00462D2A"/>
    <w:rsid w:val="00463D2F"/>
    <w:rsid w:val="004836AD"/>
    <w:rsid w:val="004B23CD"/>
    <w:rsid w:val="004F5CA7"/>
    <w:rsid w:val="004F5FD8"/>
    <w:rsid w:val="00533C49"/>
    <w:rsid w:val="00562323"/>
    <w:rsid w:val="005623A1"/>
    <w:rsid w:val="00575AED"/>
    <w:rsid w:val="0058747C"/>
    <w:rsid w:val="005968F5"/>
    <w:rsid w:val="00597F89"/>
    <w:rsid w:val="005B4B3D"/>
    <w:rsid w:val="005C4042"/>
    <w:rsid w:val="005D18E2"/>
    <w:rsid w:val="005E02E1"/>
    <w:rsid w:val="005F3320"/>
    <w:rsid w:val="00600C34"/>
    <w:rsid w:val="00623AEB"/>
    <w:rsid w:val="006272E3"/>
    <w:rsid w:val="00632353"/>
    <w:rsid w:val="00642EDF"/>
    <w:rsid w:val="0064462B"/>
    <w:rsid w:val="00677B5C"/>
    <w:rsid w:val="006A1E07"/>
    <w:rsid w:val="006A3376"/>
    <w:rsid w:val="006C4283"/>
    <w:rsid w:val="006E539B"/>
    <w:rsid w:val="006F4814"/>
    <w:rsid w:val="00746CD1"/>
    <w:rsid w:val="00763E72"/>
    <w:rsid w:val="007A18FF"/>
    <w:rsid w:val="00805E6B"/>
    <w:rsid w:val="0080746B"/>
    <w:rsid w:val="00811124"/>
    <w:rsid w:val="00824E76"/>
    <w:rsid w:val="008450D9"/>
    <w:rsid w:val="008861E2"/>
    <w:rsid w:val="00893506"/>
    <w:rsid w:val="008C13C2"/>
    <w:rsid w:val="008C66D3"/>
    <w:rsid w:val="008D5195"/>
    <w:rsid w:val="008E1252"/>
    <w:rsid w:val="00900E3F"/>
    <w:rsid w:val="0092343C"/>
    <w:rsid w:val="00924B6D"/>
    <w:rsid w:val="009258AB"/>
    <w:rsid w:val="00943192"/>
    <w:rsid w:val="00946619"/>
    <w:rsid w:val="00965FF2"/>
    <w:rsid w:val="00974AB2"/>
    <w:rsid w:val="009803AC"/>
    <w:rsid w:val="009A3AA6"/>
    <w:rsid w:val="009F5868"/>
    <w:rsid w:val="009F6FE2"/>
    <w:rsid w:val="00A454C4"/>
    <w:rsid w:val="00A639D1"/>
    <w:rsid w:val="00A647D1"/>
    <w:rsid w:val="00A72CAF"/>
    <w:rsid w:val="00A76A20"/>
    <w:rsid w:val="00A933AB"/>
    <w:rsid w:val="00AC59A3"/>
    <w:rsid w:val="00AE5D6C"/>
    <w:rsid w:val="00B24F35"/>
    <w:rsid w:val="00B41AE4"/>
    <w:rsid w:val="00B56678"/>
    <w:rsid w:val="00B616DC"/>
    <w:rsid w:val="00B94859"/>
    <w:rsid w:val="00BA4460"/>
    <w:rsid w:val="00C36E86"/>
    <w:rsid w:val="00C42B58"/>
    <w:rsid w:val="00C50819"/>
    <w:rsid w:val="00C73887"/>
    <w:rsid w:val="00C76DFD"/>
    <w:rsid w:val="00C82C53"/>
    <w:rsid w:val="00C83A64"/>
    <w:rsid w:val="00CA68B5"/>
    <w:rsid w:val="00CD7967"/>
    <w:rsid w:val="00CD7B13"/>
    <w:rsid w:val="00CE5B5F"/>
    <w:rsid w:val="00CF2D86"/>
    <w:rsid w:val="00D26306"/>
    <w:rsid w:val="00D274D3"/>
    <w:rsid w:val="00D3557C"/>
    <w:rsid w:val="00D53865"/>
    <w:rsid w:val="00DE2B26"/>
    <w:rsid w:val="00DF2E76"/>
    <w:rsid w:val="00E120B5"/>
    <w:rsid w:val="00E13FD3"/>
    <w:rsid w:val="00E422F7"/>
    <w:rsid w:val="00E52391"/>
    <w:rsid w:val="00E563D6"/>
    <w:rsid w:val="00E854EA"/>
    <w:rsid w:val="00E90C4F"/>
    <w:rsid w:val="00E92659"/>
    <w:rsid w:val="00EA08D6"/>
    <w:rsid w:val="00EA77ED"/>
    <w:rsid w:val="00EC0171"/>
    <w:rsid w:val="00F0337A"/>
    <w:rsid w:val="00F11144"/>
    <w:rsid w:val="00F408B7"/>
    <w:rsid w:val="00F44226"/>
    <w:rsid w:val="00F55A46"/>
    <w:rsid w:val="00F63FDC"/>
    <w:rsid w:val="00F672AB"/>
    <w:rsid w:val="00F7287D"/>
    <w:rsid w:val="00FB1727"/>
    <w:rsid w:val="00FB2543"/>
    <w:rsid w:val="00FD1B3E"/>
    <w:rsid w:val="00FD5B22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9625507705391652E-2"/>
          <c:y val="5.0752367407818764E-2"/>
          <c:w val="0.55481869235619619"/>
          <c:h val="0.875000404685100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-5.8345283655185584E-2"/>
                  <c:y val="-1.7625727818505537E-3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216102875408813E-3"/>
                  <c:y val="-0.10840655262919721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950659100573444E-2"/>
                  <c:y val="-6.933598817389212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911846214754019E-2"/>
                  <c:y val="-4.896418982109996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Субвенция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#,##0.00">
                  <c:v>724.2</c:v>
                </c:pt>
                <c:pt idx="1">
                  <c:v>274.5</c:v>
                </c:pt>
                <c:pt idx="2" formatCode="#,##0.00">
                  <c:v>189.4</c:v>
                </c:pt>
                <c:pt idx="3" formatCode="_-* #\ ##0.0\ _₽_-;\-* #\ ##0.0\ _₽_-;_-* &quot;-&quot;?\ _₽_-;_-@_-">
                  <c:v>2.1</c:v>
                </c:pt>
                <c:pt idx="4" formatCode="_-* #\ ##0.0\ _₽_-;\-* #\ ##0.0\ _₽_-;_-* &quot;-&quot;?\ _₽_-;_-@_-">
                  <c:v>2706.3</c:v>
                </c:pt>
                <c:pt idx="5" formatCode="_-* #\ ##0.0\ _₽_-;\-* #\ ##0.0\ _₽_-;_-* &quot;-&quot;?\ _₽_-;_-@_-">
                  <c:v>102.5</c:v>
                </c:pt>
                <c:pt idx="6" formatCode="_-* #\ ##0.0\ _₽_-;\-* #\ ##0.0\ _₽_-;_-* &quot;-&quot;?\ _₽_-;_-@_-">
                  <c:v>207.3</c:v>
                </c:pt>
                <c:pt idx="7" formatCode="_-* #\ ##0.0\ _₽_-;\-* #\ ##0.0\ _₽_-;_-* &quot;-&quot;?\ _₽_-;_-@_-">
                  <c:v>9333.7999999999811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0961"/>
          <c:y val="1.5998011261808186E-2"/>
          <c:w val="0.32868619774483809"/>
          <c:h val="0.93562523847515133"/>
        </c:manualLayout>
      </c:layout>
      <c:txPr>
        <a:bodyPr/>
        <a:lstStyle/>
        <a:p>
          <a:pPr>
            <a:defRPr sz="1000" spc="100" baseline="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778E-2"/>
          <c:w val="0.55481869235619619"/>
          <c:h val="0.875000404685100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3.0011877006994352E-2"/>
                  <c:y val="-9.00333231069705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6994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5706.2</c:v>
                </c:pt>
                <c:pt idx="1">
                  <c:v>207.3</c:v>
                </c:pt>
                <c:pt idx="2">
                  <c:v>1996.2</c:v>
                </c:pt>
                <c:pt idx="3">
                  <c:v>275.39999999999998</c:v>
                </c:pt>
                <c:pt idx="4">
                  <c:v>5120.5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0961"/>
          <c:y val="1.5998011261808141E-2"/>
          <c:w val="0.32868619774483809"/>
          <c:h val="0.9356252384751513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8362-CDCA-4481-8F83-D3A9E08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75</cp:revision>
  <cp:lastPrinted>2020-05-25T10:43:00Z</cp:lastPrinted>
  <dcterms:created xsi:type="dcterms:W3CDTF">2016-06-01T06:59:00Z</dcterms:created>
  <dcterms:modified xsi:type="dcterms:W3CDTF">2020-05-28T05:59:00Z</dcterms:modified>
</cp:coreProperties>
</file>