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Февраль   2022</w:t>
      </w:r>
      <w:r>
        <w:rPr>
          <w:rFonts w:ascii="Times New Roman" w:hAnsi="Times New Roman"/>
          <w:b w:val="1"/>
          <w:sz w:val="28"/>
        </w:rPr>
        <w:t xml:space="preserve"> года 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7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Выдача справок с места жительства и о составе семьи, </w:t>
      </w:r>
      <w:r>
        <w:rPr>
          <w:rFonts w:ascii="Times New Roman" w:hAnsi="Times New Roman"/>
          <w:sz w:val="28"/>
        </w:rPr>
        <w:t xml:space="preserve"> справки на умерших для нотариуса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Извещения о преимущественной покупке земельных участков сельскохозяйственного назначения.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выданы. </w:t>
      </w:r>
      <w:r>
        <w:rPr>
          <w:rFonts w:ascii="Times New Roman" w:hAnsi="Times New Roman"/>
          <w:sz w:val="28"/>
        </w:rPr>
        <w:t>Отказы от преимущественной покупки участков земель сельскохозяйственного назначения предоставлены.</w:t>
      </w:r>
      <w: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2022-03-03T11:00:59Z</dcterms:modified>
</cp:coreProperties>
</file>