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Сентябрь</w:t>
      </w:r>
      <w:r>
        <w:rPr>
          <w:rFonts w:ascii="Times New Roman" w:hAnsi="Times New Roman"/>
          <w:b w:val="1"/>
          <w:sz w:val="28"/>
        </w:rPr>
        <w:t xml:space="preserve"> 2021 года о рассмотрении обращений, поступивших в органы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17</w:t>
      </w:r>
      <w:r>
        <w:rPr>
          <w:rFonts w:ascii="Times New Roman" w:hAnsi="Times New Roman"/>
          <w:sz w:val="28"/>
        </w:rPr>
        <w:t xml:space="preserve"> обращений.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</w:p>
    <w:p w14:paraId="08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семьи,</w:t>
      </w:r>
      <w:r>
        <w:rPr>
          <w:rFonts w:ascii="Times New Roman" w:hAnsi="Times New Roman"/>
          <w:sz w:val="28"/>
        </w:rPr>
        <w:t xml:space="preserve"> справка на умершего для нотариуса, справки о количестве проживающих для управляющей компании по вывозу ТКО, справка по форме №1 для продажи дома, справка о совместном проживании с детьми в суд, справка на продажу излишков продукции ЛПХ , справки с места жительства в учебные заведения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Заявления</w:t>
      </w:r>
      <w:r>
        <w:rPr>
          <w:rFonts w:ascii="Times New Roman" w:hAnsi="Times New Roman"/>
          <w:sz w:val="28"/>
        </w:rPr>
        <w:t xml:space="preserve"> о преимущественной покупке земельных участков сельскохозяйственного назначения.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D000000">
      <w:r>
        <w:t xml:space="preserve">  </w:t>
      </w:r>
      <w:r>
        <w:rPr>
          <w:rFonts w:ascii="Times New Roman" w:hAnsi="Times New Roman"/>
          <w:sz w:val="28"/>
        </w:rPr>
        <w:t xml:space="preserve">Требуемые справки выданы. </w:t>
      </w:r>
      <w:r>
        <w:rPr>
          <w:rFonts w:ascii="Times New Roman" w:hAnsi="Times New Roman"/>
          <w:sz w:val="28"/>
        </w:rPr>
        <w:t>Отказы от преимущественной покупки участков земель сельскохозяйственного назначения предоставлены.</w:t>
      </w:r>
      <w:bookmarkStart w:id="1" w:name="_GoBack"/>
      <w:bookmarkEnd w:id="1"/>
      <w:r>
        <w:t xml:space="preserve"> </w:t>
      </w:r>
    </w:p>
    <w:p w14:paraId="0E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2021-09-29T10:30:02Z</dcterms:modified>
</cp:coreProperties>
</file>