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Август</w:t>
      </w:r>
      <w:r>
        <w:rPr>
          <w:rFonts w:ascii="Times New Roman" w:hAnsi="Times New Roman"/>
          <w:b w:val="1"/>
          <w:sz w:val="28"/>
        </w:rPr>
        <w:t xml:space="preserve"> 2022 года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12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 сп</w:t>
      </w:r>
      <w:r>
        <w:rPr>
          <w:rFonts w:ascii="Times New Roman" w:hAnsi="Times New Roman"/>
          <w:sz w:val="28"/>
        </w:rPr>
        <w:t>равок на умерших для нотариуса, выписка из похозяйственной книги для оформления кредита "Россельхозбанк"</w:t>
      </w:r>
      <w:r>
        <w:rPr>
          <w:rFonts w:ascii="Times New Roman" w:hAnsi="Times New Roman"/>
          <w:sz w:val="28"/>
        </w:rPr>
        <w:t>, справка о факте установки надгробного памятника участнику ВОВ в военный комиссариат.  Отказ от права преимущественной покупки земельного участка сельскохозяйственного назначения.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>Требуемые справки и выписки из похозяйственной книги выданы.  Отказ от преимущественной покупки земельного участка сельскохозяйственного назначения предоставлен.</w:t>
      </w: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2022-12-05T07:21:06Z</dcterms:modified>
</cp:coreProperties>
</file>