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34" w:rsidRPr="000A015F" w:rsidRDefault="002D1734" w:rsidP="002D1734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34" w:rsidRPr="000A015F" w:rsidRDefault="002D1734" w:rsidP="002D1734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2D1734" w:rsidRPr="000A015F" w:rsidRDefault="002D1734" w:rsidP="002D1734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2"/>
        </w:rPr>
      </w:pPr>
      <w:r w:rsidRPr="000A015F">
        <w:rPr>
          <w:rFonts w:ascii="Times New Roman" w:hAnsi="Times New Roman"/>
          <w:b/>
          <w:caps/>
          <w:sz w:val="30"/>
          <w:szCs w:val="32"/>
        </w:rPr>
        <w:t>АДМИНИСТРАЦИя</w:t>
      </w:r>
    </w:p>
    <w:p w:rsidR="002D1734" w:rsidRPr="000A015F" w:rsidRDefault="002D1734" w:rsidP="002D1734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2"/>
        </w:rPr>
      </w:pPr>
      <w:r w:rsidRPr="000A015F">
        <w:rPr>
          <w:rFonts w:ascii="Times New Roman" w:hAnsi="Times New Roman"/>
          <w:b/>
          <w:caps/>
          <w:sz w:val="30"/>
          <w:szCs w:val="32"/>
        </w:rPr>
        <w:t>Базарно-Карабулакского МУНИЦИПАЛЬНОГО района</w:t>
      </w:r>
    </w:p>
    <w:p w:rsidR="002D1734" w:rsidRPr="000A015F" w:rsidRDefault="002D1734" w:rsidP="002D1734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2"/>
        </w:rPr>
      </w:pPr>
      <w:r w:rsidRPr="000A015F">
        <w:rPr>
          <w:rFonts w:ascii="Times New Roman" w:hAnsi="Times New Roman"/>
          <w:b/>
          <w:caps/>
          <w:sz w:val="30"/>
          <w:szCs w:val="32"/>
        </w:rPr>
        <w:t>Саратовской области</w:t>
      </w:r>
    </w:p>
    <w:p w:rsidR="002D1734" w:rsidRPr="000A015F" w:rsidRDefault="002D1734" w:rsidP="002D1734">
      <w:pPr>
        <w:pStyle w:val="a3"/>
        <w:spacing w:after="0" w:line="240" w:lineRule="auto"/>
        <w:jc w:val="center"/>
        <w:rPr>
          <w:rFonts w:ascii="Times New Roman" w:hAnsi="Times New Roman"/>
          <w:b/>
          <w:sz w:val="30"/>
          <w:szCs w:val="32"/>
        </w:rPr>
      </w:pPr>
    </w:p>
    <w:p w:rsidR="002D1734" w:rsidRPr="00162F10" w:rsidRDefault="002D1734" w:rsidP="002D1734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2"/>
        </w:rPr>
      </w:pPr>
      <w:r>
        <w:rPr>
          <w:rFonts w:ascii="Times New Roman" w:hAnsi="Times New Roman"/>
          <w:b/>
          <w:caps/>
          <w:sz w:val="30"/>
          <w:szCs w:val="32"/>
        </w:rPr>
        <w:t>ПОСТАНОВЛЕНИЕ</w:t>
      </w:r>
    </w:p>
    <w:p w:rsidR="002D1734" w:rsidRPr="000A015F" w:rsidRDefault="002D1734" w:rsidP="002D1734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2D1734" w:rsidRPr="0008232B" w:rsidRDefault="002D1734" w:rsidP="002D1734">
      <w:pPr>
        <w:pStyle w:val="a3"/>
        <w:spacing w:after="0" w:line="240" w:lineRule="auto"/>
        <w:rPr>
          <w:rFonts w:ascii="Times New Roman" w:hAnsi="Times New Roman"/>
          <w:sz w:val="24"/>
          <w:u w:val="single"/>
          <w:lang w:val="en-US"/>
        </w:rPr>
      </w:pPr>
      <w:r w:rsidRPr="000A015F">
        <w:rPr>
          <w:rFonts w:ascii="Times New Roman" w:hAnsi="Times New Roman"/>
          <w:sz w:val="24"/>
        </w:rPr>
        <w:t>От</w:t>
      </w:r>
      <w:r w:rsidR="0008232B">
        <w:rPr>
          <w:rFonts w:ascii="Times New Roman" w:hAnsi="Times New Roman"/>
          <w:sz w:val="24"/>
        </w:rPr>
        <w:t xml:space="preserve">  </w:t>
      </w:r>
      <w:r w:rsidR="0008232B" w:rsidRPr="0008232B">
        <w:rPr>
          <w:rFonts w:ascii="Times New Roman" w:hAnsi="Times New Roman"/>
          <w:sz w:val="24"/>
          <w:u w:val="single"/>
        </w:rPr>
        <w:t>22.02.2022г.</w:t>
      </w:r>
      <w:r w:rsidRPr="000A015F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           </w:t>
      </w:r>
      <w:r w:rsidRPr="000A015F"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                                  </w:t>
      </w:r>
      <w:r w:rsidR="00580909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№ </w:t>
      </w:r>
      <w:r w:rsidR="0008232B" w:rsidRPr="0008232B">
        <w:rPr>
          <w:rFonts w:ascii="Times New Roman" w:hAnsi="Times New Roman"/>
          <w:sz w:val="24"/>
          <w:u w:val="single"/>
          <w:lang w:val="en-US"/>
        </w:rPr>
        <w:t>178</w:t>
      </w:r>
    </w:p>
    <w:p w:rsidR="002D1734" w:rsidRPr="000A015F" w:rsidRDefault="002D1734" w:rsidP="002D1734">
      <w:pPr>
        <w:pStyle w:val="a3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D1734" w:rsidRPr="000A015F" w:rsidRDefault="002D1734" w:rsidP="002D1734">
      <w:pPr>
        <w:pStyle w:val="a3"/>
        <w:spacing w:after="0" w:line="240" w:lineRule="auto"/>
        <w:jc w:val="center"/>
        <w:rPr>
          <w:rFonts w:ascii="Times New Roman" w:hAnsi="Times New Roman"/>
          <w:sz w:val="24"/>
        </w:rPr>
      </w:pPr>
      <w:r w:rsidRPr="000A015F">
        <w:rPr>
          <w:rFonts w:ascii="Times New Roman" w:hAnsi="Times New Roman"/>
          <w:sz w:val="24"/>
        </w:rPr>
        <w:t>р.п. Базарный Карабулак</w:t>
      </w:r>
    </w:p>
    <w:p w:rsidR="002D1734" w:rsidRPr="000A015F" w:rsidRDefault="002D1734" w:rsidP="002D1734">
      <w:pPr>
        <w:pStyle w:val="a3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D1734" w:rsidRPr="00161DD8" w:rsidRDefault="002D1734" w:rsidP="002D1734">
      <w:pPr>
        <w:tabs>
          <w:tab w:val="left" w:pos="4678"/>
          <w:tab w:val="left" w:pos="5529"/>
          <w:tab w:val="left" w:pos="5812"/>
        </w:tabs>
        <w:spacing w:after="0" w:line="240" w:lineRule="auto"/>
        <w:ind w:right="3825"/>
        <w:rPr>
          <w:rFonts w:ascii="Times New Roman" w:hAnsi="Times New Roman" w:cs="Times New Roman"/>
          <w:b/>
          <w:sz w:val="24"/>
          <w:szCs w:val="24"/>
        </w:rPr>
      </w:pPr>
      <w:r w:rsidRPr="00161DD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161DD8">
        <w:rPr>
          <w:rFonts w:ascii="Times New Roman" w:hAnsi="Times New Roman" w:cs="Times New Roman"/>
          <w:b/>
          <w:sz w:val="24"/>
          <w:szCs w:val="24"/>
        </w:rPr>
        <w:t>карты рисков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нарушения антимонопольного законодательства </w:t>
      </w:r>
      <w:r w:rsidRPr="00161DD8">
        <w:rPr>
          <w:rFonts w:ascii="Times New Roman" w:hAnsi="Times New Roman" w:cs="Times New Roman"/>
          <w:b/>
          <w:bCs/>
          <w:sz w:val="24"/>
          <w:szCs w:val="24"/>
        </w:rPr>
        <w:t xml:space="preserve">(комплаенс - рисков) </w:t>
      </w:r>
      <w:r w:rsidRPr="00161DD8">
        <w:rPr>
          <w:rFonts w:ascii="Times New Roman" w:hAnsi="Times New Roman" w:cs="Times New Roman"/>
          <w:b/>
          <w:sz w:val="24"/>
          <w:szCs w:val="24"/>
        </w:rPr>
        <w:t xml:space="preserve"> и плана мероприятий («дорожной карты») по снижению </w:t>
      </w:r>
      <w:r w:rsidRPr="00161DD8">
        <w:rPr>
          <w:rFonts w:ascii="Times New Roman" w:hAnsi="Times New Roman" w:cs="Times New Roman"/>
          <w:b/>
          <w:bCs/>
          <w:sz w:val="24"/>
          <w:szCs w:val="24"/>
        </w:rPr>
        <w:t xml:space="preserve">рисков нарушения антимонопольного законодательства (комплаенс - рисков) </w:t>
      </w:r>
      <w:r w:rsidRPr="00161DD8">
        <w:rPr>
          <w:rFonts w:ascii="Times New Roman" w:hAnsi="Times New Roman" w:cs="Times New Roman"/>
          <w:b/>
          <w:sz w:val="24"/>
          <w:szCs w:val="24"/>
        </w:rPr>
        <w:t>в администрации Базарно-Карабулакского муниципального района Саратовской области</w:t>
      </w:r>
      <w:r w:rsidR="00AF7080"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Pr="00161D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D1734" w:rsidRPr="000A015F" w:rsidRDefault="002D1734" w:rsidP="002D17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D1734" w:rsidRPr="00614BF5" w:rsidRDefault="002D1734" w:rsidP="002D1734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BF5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Базарно-Карабулакского муниципального района Саратовской об</w:t>
      </w:r>
      <w:r>
        <w:rPr>
          <w:rFonts w:ascii="Times New Roman" w:hAnsi="Times New Roman" w:cs="Times New Roman"/>
          <w:sz w:val="24"/>
          <w:szCs w:val="24"/>
        </w:rPr>
        <w:t xml:space="preserve">ласти от 15.10.2019г. № 741 «О </w:t>
      </w:r>
      <w:r w:rsidRPr="00614BF5">
        <w:rPr>
          <w:rFonts w:ascii="Times New Roman" w:hAnsi="Times New Roman" w:cs="Times New Roman"/>
          <w:sz w:val="24"/>
          <w:szCs w:val="24"/>
        </w:rPr>
        <w:t>создании и организации системы внутреннего обеспечения соответствия требованиям антимонопольного законодательства», руководствуясь Уставом Базарно-Карабулакского муниципального района, администрация района ПОСТАНОВЛЯЕТ:</w:t>
      </w:r>
    </w:p>
    <w:p w:rsidR="002D1734" w:rsidRPr="00614BF5" w:rsidRDefault="002D1734" w:rsidP="002D1734">
      <w:pPr>
        <w:pStyle w:val="20"/>
        <w:widowControl w:val="0"/>
        <w:shd w:val="clear" w:color="auto" w:fill="auto"/>
        <w:tabs>
          <w:tab w:val="left" w:pos="104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4BF5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2D1734" w:rsidRPr="00614BF5" w:rsidRDefault="002D1734" w:rsidP="002D1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-карту рисков нарушения антимонопольного законодательства </w:t>
      </w:r>
      <w:r w:rsidRPr="00161DD8">
        <w:rPr>
          <w:rFonts w:ascii="Times New Roman" w:hAnsi="Times New Roman" w:cs="Times New Roman"/>
          <w:bCs/>
          <w:sz w:val="24"/>
          <w:szCs w:val="24"/>
        </w:rPr>
        <w:t xml:space="preserve">(комплаенс - рисков) </w:t>
      </w:r>
      <w:r>
        <w:rPr>
          <w:rFonts w:ascii="Times New Roman" w:hAnsi="Times New Roman" w:cs="Times New Roman"/>
          <w:sz w:val="24"/>
          <w:szCs w:val="24"/>
        </w:rPr>
        <w:t xml:space="preserve">  в а</w:t>
      </w:r>
      <w:r w:rsidRPr="00614BF5">
        <w:rPr>
          <w:rFonts w:ascii="Times New Roman" w:hAnsi="Times New Roman" w:cs="Times New Roman"/>
          <w:sz w:val="24"/>
          <w:szCs w:val="24"/>
        </w:rPr>
        <w:t>дминистрации Базарно-Карабулакского муниципального район</w:t>
      </w:r>
      <w:r>
        <w:rPr>
          <w:rFonts w:ascii="Times New Roman" w:hAnsi="Times New Roman" w:cs="Times New Roman"/>
          <w:sz w:val="24"/>
          <w:szCs w:val="24"/>
        </w:rPr>
        <w:t>а Саратовской области</w:t>
      </w:r>
      <w:r w:rsidR="00DB278C">
        <w:rPr>
          <w:rFonts w:ascii="Times New Roman" w:hAnsi="Times New Roman" w:cs="Times New Roman"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14BF5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2D1734" w:rsidRPr="00614BF5" w:rsidRDefault="002D1734" w:rsidP="002D173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4BF5">
        <w:rPr>
          <w:rFonts w:ascii="Times New Roman" w:hAnsi="Times New Roman" w:cs="Times New Roman"/>
          <w:sz w:val="24"/>
          <w:szCs w:val="24"/>
        </w:rPr>
        <w:t>план мероприятий («</w:t>
      </w:r>
      <w:r w:rsidRPr="00161DD8">
        <w:rPr>
          <w:rFonts w:ascii="Times New Roman" w:hAnsi="Times New Roman" w:cs="Times New Roman"/>
          <w:sz w:val="24"/>
          <w:szCs w:val="24"/>
        </w:rPr>
        <w:t xml:space="preserve">дорожную карту») по снижению </w:t>
      </w:r>
      <w:r w:rsidRPr="00161DD8">
        <w:rPr>
          <w:rFonts w:ascii="Times New Roman" w:hAnsi="Times New Roman" w:cs="Times New Roman"/>
          <w:bCs/>
          <w:sz w:val="24"/>
          <w:szCs w:val="24"/>
        </w:rPr>
        <w:t>рисков нарушения антимонопольного законодательства (комплаенс - рисков) в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4BF5">
        <w:rPr>
          <w:rFonts w:ascii="Times New Roman" w:hAnsi="Times New Roman" w:cs="Times New Roman"/>
          <w:sz w:val="24"/>
          <w:szCs w:val="24"/>
        </w:rPr>
        <w:t>дминистрации Базарно-Карабулакского муниципального ра</w:t>
      </w:r>
      <w:r w:rsidR="00AF7080">
        <w:rPr>
          <w:rFonts w:ascii="Times New Roman" w:hAnsi="Times New Roman" w:cs="Times New Roman"/>
          <w:sz w:val="24"/>
          <w:szCs w:val="24"/>
        </w:rPr>
        <w:t>йона Саратовской области на 2022</w:t>
      </w:r>
      <w:r w:rsidRPr="00614BF5">
        <w:rPr>
          <w:rFonts w:ascii="Times New Roman" w:hAnsi="Times New Roman" w:cs="Times New Roman"/>
          <w:sz w:val="24"/>
          <w:szCs w:val="24"/>
        </w:rPr>
        <w:t xml:space="preserve"> год согласно приложению № 2 к настоящему постановлению.</w:t>
      </w:r>
    </w:p>
    <w:p w:rsidR="002D1734" w:rsidRPr="00614BF5" w:rsidRDefault="002D1734" w:rsidP="002D1734">
      <w:pPr>
        <w:pStyle w:val="ConsPlusNormal"/>
        <w:tabs>
          <w:tab w:val="left" w:pos="5245"/>
          <w:tab w:val="left" w:pos="538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BF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14BF5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 и подлежит размещению на официальном сайте администрации Базарно-Карабулакского муниципального района в информационно-телекоммуникационной сети «Интернет».</w:t>
      </w:r>
      <w:r w:rsidRPr="00614B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1734" w:rsidRPr="00614BF5" w:rsidRDefault="002D1734" w:rsidP="002D17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BF5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первого заместителя главы администрации Базарно-Карабулакского муниципального района Будеева И.А.</w:t>
      </w:r>
    </w:p>
    <w:p w:rsidR="002D1734" w:rsidRPr="00614BF5" w:rsidRDefault="002D1734" w:rsidP="002D173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B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4BF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D1734" w:rsidRPr="00614BF5" w:rsidRDefault="002D1734" w:rsidP="002D17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734" w:rsidRPr="001C6DED" w:rsidRDefault="002D1734" w:rsidP="002D17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2D1734" w:rsidRPr="001C6DED" w:rsidSect="00C244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14BF5">
        <w:rPr>
          <w:rFonts w:ascii="Times New Roman" w:hAnsi="Times New Roman" w:cs="Times New Roman"/>
          <w:b/>
          <w:sz w:val="24"/>
          <w:szCs w:val="24"/>
        </w:rPr>
        <w:t>Глава муниципального района                                                                           О.А.Чумб</w:t>
      </w:r>
      <w:r>
        <w:rPr>
          <w:rFonts w:ascii="Times New Roman" w:hAnsi="Times New Roman" w:cs="Times New Roman"/>
          <w:b/>
          <w:sz w:val="24"/>
          <w:szCs w:val="24"/>
        </w:rPr>
        <w:t>аев</w:t>
      </w:r>
    </w:p>
    <w:p w:rsidR="002D1734" w:rsidRDefault="002D1734" w:rsidP="002D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734" w:rsidRDefault="002D1734" w:rsidP="002D17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  <w:r w:rsidRPr="00DD0052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2D1734" w:rsidRPr="00580909" w:rsidRDefault="0008232B" w:rsidP="002D1734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Pr="00580909">
        <w:rPr>
          <w:rFonts w:ascii="Times New Roman" w:hAnsi="Times New Roman" w:cs="Times New Roman"/>
          <w:sz w:val="20"/>
          <w:szCs w:val="20"/>
        </w:rPr>
        <w:t xml:space="preserve"> </w:t>
      </w:r>
      <w:r w:rsidRPr="00580909">
        <w:rPr>
          <w:rFonts w:ascii="Times New Roman" w:hAnsi="Times New Roman" w:cs="Times New Roman"/>
          <w:sz w:val="20"/>
          <w:szCs w:val="20"/>
          <w:u w:val="single"/>
        </w:rPr>
        <w:t>22.02.2022</w:t>
      </w:r>
      <w:r w:rsidRPr="005809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80909">
        <w:rPr>
          <w:rFonts w:ascii="Times New Roman" w:hAnsi="Times New Roman" w:cs="Times New Roman"/>
          <w:sz w:val="20"/>
          <w:szCs w:val="20"/>
          <w:u w:val="single"/>
        </w:rPr>
        <w:t>178</w:t>
      </w:r>
    </w:p>
    <w:p w:rsidR="002D1734" w:rsidRPr="00DD0052" w:rsidRDefault="002D1734" w:rsidP="002D17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D1734" w:rsidRPr="007A5B74" w:rsidRDefault="002D1734" w:rsidP="002D1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74">
        <w:rPr>
          <w:rFonts w:ascii="Times New Roman" w:hAnsi="Times New Roman" w:cs="Times New Roman"/>
          <w:b/>
          <w:sz w:val="24"/>
          <w:szCs w:val="24"/>
        </w:rPr>
        <w:t xml:space="preserve">Карта рисков нарушения антимонопольного законодательства </w:t>
      </w:r>
      <w:r w:rsidRPr="007A5B74">
        <w:rPr>
          <w:rFonts w:ascii="Times New Roman" w:hAnsi="Times New Roman" w:cs="Times New Roman"/>
          <w:b/>
          <w:bCs/>
          <w:sz w:val="24"/>
          <w:szCs w:val="24"/>
        </w:rPr>
        <w:t xml:space="preserve">(комплаенс - рисков) </w:t>
      </w:r>
      <w:r w:rsidRPr="007A5B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734" w:rsidRPr="007A5B74" w:rsidRDefault="002D1734" w:rsidP="002D1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74">
        <w:rPr>
          <w:rFonts w:ascii="Times New Roman" w:hAnsi="Times New Roman" w:cs="Times New Roman"/>
          <w:b/>
          <w:sz w:val="24"/>
          <w:szCs w:val="24"/>
        </w:rPr>
        <w:t xml:space="preserve"> в администрации Базарно-Карабулакского муниципального района Саратовской области </w:t>
      </w:r>
      <w:r w:rsidR="00DB278C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2D1734" w:rsidRPr="001127C4" w:rsidRDefault="002D1734" w:rsidP="002D1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89"/>
        <w:gridCol w:w="1766"/>
        <w:gridCol w:w="2798"/>
        <w:gridCol w:w="3020"/>
        <w:gridCol w:w="3075"/>
        <w:gridCol w:w="1560"/>
        <w:gridCol w:w="1778"/>
      </w:tblGrid>
      <w:tr w:rsidR="002D1734" w:rsidRPr="001127C4" w:rsidTr="00B16C9F">
        <w:tc>
          <w:tcPr>
            <w:tcW w:w="789" w:type="dxa"/>
            <w:vAlign w:val="center"/>
          </w:tcPr>
          <w:p w:rsidR="002D1734" w:rsidRPr="00DF20C0" w:rsidRDefault="002D1734" w:rsidP="00B16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0C0">
              <w:rPr>
                <w:rFonts w:ascii="Times New Roman" w:hAnsi="Times New Roman" w:cs="Times New Roman"/>
              </w:rPr>
              <w:t>№</w:t>
            </w:r>
          </w:p>
          <w:p w:rsidR="002D1734" w:rsidRPr="00DF20C0" w:rsidRDefault="002D1734" w:rsidP="00B16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0C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66" w:type="dxa"/>
            <w:vAlign w:val="center"/>
          </w:tcPr>
          <w:p w:rsidR="002D1734" w:rsidRPr="00DF20C0" w:rsidRDefault="002D1734" w:rsidP="00B16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Уровень риска</w:t>
            </w:r>
          </w:p>
        </w:tc>
        <w:tc>
          <w:tcPr>
            <w:tcW w:w="2798" w:type="dxa"/>
            <w:vAlign w:val="center"/>
          </w:tcPr>
          <w:p w:rsidR="002D1734" w:rsidRPr="00DF20C0" w:rsidRDefault="002D1734" w:rsidP="00B16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Описание рисков</w:t>
            </w:r>
          </w:p>
        </w:tc>
        <w:tc>
          <w:tcPr>
            <w:tcW w:w="3020" w:type="dxa"/>
            <w:vAlign w:val="center"/>
          </w:tcPr>
          <w:p w:rsidR="002D1734" w:rsidRPr="00DF20C0" w:rsidRDefault="002D1734" w:rsidP="00B16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Причины возникновения рисков и их оценка</w:t>
            </w:r>
          </w:p>
        </w:tc>
        <w:tc>
          <w:tcPr>
            <w:tcW w:w="3075" w:type="dxa"/>
            <w:vAlign w:val="center"/>
          </w:tcPr>
          <w:p w:rsidR="002D1734" w:rsidRPr="00DF20C0" w:rsidRDefault="002D1734" w:rsidP="00B16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Мероприятия по минимизации и устранению рисков</w:t>
            </w:r>
          </w:p>
        </w:tc>
        <w:tc>
          <w:tcPr>
            <w:tcW w:w="1560" w:type="dxa"/>
            <w:vAlign w:val="center"/>
          </w:tcPr>
          <w:p w:rsidR="002D1734" w:rsidRPr="00DB278C" w:rsidRDefault="002D1734" w:rsidP="00B16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Наличие (отсутствие) остаточных рисков</w:t>
            </w:r>
          </w:p>
        </w:tc>
        <w:tc>
          <w:tcPr>
            <w:tcW w:w="1778" w:type="dxa"/>
            <w:vAlign w:val="center"/>
          </w:tcPr>
          <w:p w:rsidR="002D1734" w:rsidRPr="00DB278C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Вероятность</w:t>
            </w:r>
          </w:p>
          <w:p w:rsidR="002D1734" w:rsidRPr="00DB278C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повторного</w:t>
            </w:r>
          </w:p>
          <w:p w:rsidR="002D1734" w:rsidRPr="00DB278C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возникновения</w:t>
            </w:r>
          </w:p>
          <w:p w:rsidR="002D1734" w:rsidRPr="00DB278C" w:rsidRDefault="002D1734" w:rsidP="00B16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рисков</w:t>
            </w:r>
          </w:p>
        </w:tc>
      </w:tr>
      <w:tr w:rsidR="00487AA1" w:rsidRPr="001127C4" w:rsidTr="00487AA1">
        <w:tc>
          <w:tcPr>
            <w:tcW w:w="789" w:type="dxa"/>
            <w:vAlign w:val="center"/>
          </w:tcPr>
          <w:p w:rsidR="00487AA1" w:rsidRPr="00DF20C0" w:rsidRDefault="00487AA1" w:rsidP="00B16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6" w:type="dxa"/>
            <w:vAlign w:val="center"/>
          </w:tcPr>
          <w:p w:rsidR="00487AA1" w:rsidRPr="00DF20C0" w:rsidRDefault="00487AA1" w:rsidP="00B16C9F">
            <w:pPr>
              <w:pStyle w:val="ConsPlusNormal"/>
              <w:ind w:firstLine="0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Существенный</w:t>
            </w:r>
          </w:p>
        </w:tc>
        <w:tc>
          <w:tcPr>
            <w:tcW w:w="2798" w:type="dxa"/>
          </w:tcPr>
          <w:p w:rsidR="00487AA1" w:rsidRPr="00DF20C0" w:rsidRDefault="00487AA1" w:rsidP="00487AA1">
            <w:pPr>
              <w:pStyle w:val="ConsPlusNormal"/>
              <w:ind w:firstLine="0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Fonts w:ascii="Times New Roman" w:hAnsi="Times New Roman" w:cs="Times New Roman"/>
              </w:rPr>
              <w:t xml:space="preserve">Разработка проектов нормативных правовых актов, соглашений и осуществление действий (бездействия), которые могут привести к </w:t>
            </w:r>
            <w:r w:rsidR="0021464E">
              <w:rPr>
                <w:rFonts w:ascii="Times New Roman" w:hAnsi="Times New Roman" w:cs="Times New Roman"/>
              </w:rPr>
              <w:t>ущемлению</w:t>
            </w:r>
            <w:r w:rsidR="0021464E" w:rsidRPr="00DF20C0">
              <w:rPr>
                <w:rFonts w:ascii="Times New Roman" w:hAnsi="Times New Roman" w:cs="Times New Roman"/>
              </w:rPr>
              <w:t xml:space="preserve"> интересов хозяйствующих субъектов</w:t>
            </w:r>
            <w:r w:rsidR="0021464E" w:rsidRPr="00DF20C0">
              <w:rPr>
                <w:rStyle w:val="212pt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</w:tcPr>
          <w:p w:rsidR="00487AA1" w:rsidRPr="00DF20C0" w:rsidRDefault="00487AA1" w:rsidP="0069576E">
            <w:pPr>
              <w:rPr>
                <w:rFonts w:ascii="Times New Roman" w:hAnsi="Times New Roman" w:cs="Times New Roman"/>
              </w:rPr>
            </w:pPr>
            <w:r w:rsidRPr="00DF20C0">
              <w:rPr>
                <w:rFonts w:ascii="Times New Roman" w:hAnsi="Times New Roman" w:cs="Times New Roman"/>
              </w:rPr>
              <w:t>Недостаточная координация процесса разработки проекта нормативного правового акта и его принятия со стороны руководителя структурного подразделения;</w:t>
            </w:r>
          </w:p>
          <w:p w:rsidR="00487AA1" w:rsidRPr="00DF20C0" w:rsidRDefault="00487AA1" w:rsidP="00487AA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</w:p>
          <w:p w:rsidR="00487AA1" w:rsidRPr="00DF20C0" w:rsidRDefault="00487AA1" w:rsidP="00487AA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Недостаточное</w:t>
            </w:r>
          </w:p>
          <w:p w:rsidR="00487AA1" w:rsidRPr="00DF20C0" w:rsidRDefault="00487AA1" w:rsidP="00487AA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знание</w:t>
            </w:r>
          </w:p>
          <w:p w:rsidR="00487AA1" w:rsidRPr="00DF20C0" w:rsidRDefault="00487AA1" w:rsidP="00487AA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действующего</w:t>
            </w:r>
          </w:p>
          <w:p w:rsidR="00487AA1" w:rsidRPr="00DF20C0" w:rsidRDefault="00487AA1" w:rsidP="00487AA1">
            <w:pPr>
              <w:pStyle w:val="20"/>
              <w:shd w:val="clear" w:color="auto" w:fill="auto"/>
              <w:spacing w:before="0" w:after="0" w:line="240" w:lineRule="auto"/>
              <w:ind w:left="220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законодательства;</w:t>
            </w:r>
          </w:p>
          <w:p w:rsidR="00487AA1" w:rsidRPr="00DF20C0" w:rsidRDefault="00487AA1" w:rsidP="00487AA1">
            <w:pPr>
              <w:pStyle w:val="20"/>
              <w:shd w:val="clear" w:color="auto" w:fill="auto"/>
              <w:spacing w:before="0" w:after="0" w:line="240" w:lineRule="auto"/>
              <w:ind w:left="2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AA1" w:rsidRPr="00DF20C0" w:rsidRDefault="00487AA1" w:rsidP="00487AA1">
            <w:pPr>
              <w:pStyle w:val="ConsPlusNormal"/>
              <w:ind w:firstLine="0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Несвоевременное отслеживание изменений законодательства</w:t>
            </w:r>
          </w:p>
        </w:tc>
        <w:tc>
          <w:tcPr>
            <w:tcW w:w="3075" w:type="dxa"/>
            <w:vAlign w:val="center"/>
          </w:tcPr>
          <w:p w:rsidR="00487AA1" w:rsidRPr="00DF20C0" w:rsidRDefault="00487AA1" w:rsidP="00487AA1">
            <w:pPr>
              <w:jc w:val="center"/>
              <w:rPr>
                <w:rFonts w:ascii="Times New Roman" w:hAnsi="Times New Roman" w:cs="Times New Roman"/>
              </w:rPr>
            </w:pPr>
            <w:r w:rsidRPr="00DF20C0">
              <w:rPr>
                <w:rFonts w:ascii="Times New Roman" w:hAnsi="Times New Roman" w:cs="Times New Roman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:rsidR="00487AA1" w:rsidRPr="00DF20C0" w:rsidRDefault="00487AA1" w:rsidP="00487AA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</w:p>
          <w:p w:rsidR="00487AA1" w:rsidRPr="00DF20C0" w:rsidRDefault="00487AA1" w:rsidP="00487AA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Соблюдение административных регламентов, порядков и положений при разработке проектов НПА;</w:t>
            </w:r>
          </w:p>
          <w:p w:rsidR="00487AA1" w:rsidRPr="00DF20C0" w:rsidRDefault="00487AA1" w:rsidP="00487AA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AA1" w:rsidRPr="00DF20C0" w:rsidRDefault="00487AA1" w:rsidP="00487AA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Проведение правовой экспертизы проектов НПА на предмет соответствия антимонопольному законодательству;</w:t>
            </w:r>
          </w:p>
          <w:p w:rsidR="00D94CEE" w:rsidRPr="00DF20C0" w:rsidRDefault="00D94CEE" w:rsidP="00D94CEE">
            <w:pPr>
              <w:rPr>
                <w:rFonts w:ascii="Times New Roman" w:hAnsi="Times New Roman" w:cs="Times New Roman"/>
              </w:rPr>
            </w:pPr>
          </w:p>
          <w:p w:rsidR="00487AA1" w:rsidRPr="0099389C" w:rsidRDefault="00D94CEE" w:rsidP="0099389C">
            <w:pPr>
              <w:jc w:val="center"/>
              <w:rPr>
                <w:rStyle w:val="212pt"/>
                <w:rFonts w:eastAsiaTheme="minorEastAsia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212pt"/>
                <w:rFonts w:eastAsiaTheme="minorEastAsia"/>
                <w:sz w:val="22"/>
                <w:szCs w:val="22"/>
              </w:rPr>
              <w:t>Ведение</w:t>
            </w:r>
            <w:r w:rsidRPr="00DB278C">
              <w:rPr>
                <w:rStyle w:val="212pt"/>
                <w:rFonts w:eastAsiaTheme="minorEastAsia"/>
                <w:sz w:val="22"/>
                <w:szCs w:val="22"/>
              </w:rPr>
              <w:t xml:space="preserve"> на официальном сайте Администрации разделов «Оценка регулирующего воздействия проектов НП</w:t>
            </w:r>
            <w:r w:rsidRPr="00DB278C">
              <w:rPr>
                <w:rStyle w:val="212pt"/>
                <w:rFonts w:eastAsiaTheme="minorEastAsia"/>
                <w:sz w:val="22"/>
                <w:szCs w:val="22"/>
                <w:lang w:val="en-US" w:eastAsia="en-US" w:bidi="en-US"/>
              </w:rPr>
              <w:t>A</w:t>
            </w:r>
            <w:r w:rsidRPr="00DB278C">
              <w:rPr>
                <w:rStyle w:val="212pt"/>
                <w:rFonts w:eastAsiaTheme="minorEastAsia"/>
                <w:sz w:val="22"/>
                <w:szCs w:val="22"/>
                <w:lang w:eastAsia="en-US" w:bidi="en-US"/>
              </w:rPr>
              <w:t xml:space="preserve"> </w:t>
            </w: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и экспертиза НПА»</w:t>
            </w:r>
          </w:p>
        </w:tc>
        <w:tc>
          <w:tcPr>
            <w:tcW w:w="1560" w:type="dxa"/>
            <w:vAlign w:val="center"/>
          </w:tcPr>
          <w:p w:rsidR="00487AA1" w:rsidRPr="00DB278C" w:rsidRDefault="00487AA1" w:rsidP="00B16C9F">
            <w:pPr>
              <w:pStyle w:val="ConsPlusNormal"/>
              <w:ind w:firstLine="0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Остаточный риск сохраняется, но снижается</w:t>
            </w:r>
          </w:p>
        </w:tc>
        <w:tc>
          <w:tcPr>
            <w:tcW w:w="1778" w:type="dxa"/>
            <w:vAlign w:val="center"/>
          </w:tcPr>
          <w:p w:rsidR="00487AA1" w:rsidRPr="00DB278C" w:rsidRDefault="00487AA1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Сохраняется</w:t>
            </w:r>
          </w:p>
        </w:tc>
      </w:tr>
      <w:tr w:rsidR="002D1734" w:rsidRPr="00F9326A" w:rsidTr="00B16C9F">
        <w:tc>
          <w:tcPr>
            <w:tcW w:w="789" w:type="dxa"/>
            <w:vAlign w:val="center"/>
          </w:tcPr>
          <w:p w:rsidR="002D1734" w:rsidRPr="00DF20C0" w:rsidRDefault="002D1734" w:rsidP="00B16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0C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66" w:type="dxa"/>
            <w:vAlign w:val="center"/>
          </w:tcPr>
          <w:p w:rsidR="002D1734" w:rsidRPr="00DF20C0" w:rsidRDefault="002D1734" w:rsidP="00B16C9F">
            <w:pPr>
              <w:pStyle w:val="ConsPlusNormal"/>
              <w:ind w:firstLine="0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Высокий</w:t>
            </w:r>
          </w:p>
        </w:tc>
        <w:tc>
          <w:tcPr>
            <w:tcW w:w="2798" w:type="dxa"/>
          </w:tcPr>
          <w:p w:rsidR="002D1734" w:rsidRPr="00DF20C0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нужд;</w:t>
            </w:r>
          </w:p>
          <w:p w:rsidR="002D1734" w:rsidRPr="00DF20C0" w:rsidRDefault="00D94CEE" w:rsidP="00D94CEE">
            <w:pPr>
              <w:pStyle w:val="20"/>
              <w:shd w:val="clear" w:color="auto" w:fill="auto"/>
              <w:spacing w:before="280" w:after="280" w:line="2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Ограничение количества участников закупки</w:t>
            </w:r>
            <w:r>
              <w:t>;</w:t>
            </w:r>
          </w:p>
          <w:p w:rsidR="002D1734" w:rsidRPr="00DF20C0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Совершение    комиссией  по  осуществлению закупок действий</w:t>
            </w:r>
          </w:p>
          <w:p w:rsidR="002D1734" w:rsidRPr="00DF20C0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ограничивающих  конкуренцию</w:t>
            </w:r>
          </w:p>
        </w:tc>
        <w:tc>
          <w:tcPr>
            <w:tcW w:w="3020" w:type="dxa"/>
          </w:tcPr>
          <w:p w:rsidR="002D1734" w:rsidRPr="00DF20C0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Недостаточный опыт применения законодательства  о контрактной системе в  сфере  закупок</w:t>
            </w:r>
          </w:p>
        </w:tc>
        <w:tc>
          <w:tcPr>
            <w:tcW w:w="3075" w:type="dxa"/>
          </w:tcPr>
          <w:p w:rsidR="002D1734" w:rsidRPr="00DF20C0" w:rsidRDefault="008E3258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>
              <w:rPr>
                <w:rStyle w:val="212pt"/>
                <w:rFonts w:eastAsiaTheme="minorEastAsia"/>
                <w:sz w:val="22"/>
                <w:szCs w:val="22"/>
              </w:rPr>
              <w:t>П</w:t>
            </w:r>
            <w:r w:rsidR="002D1734" w:rsidRPr="00DF20C0">
              <w:rPr>
                <w:rStyle w:val="212pt"/>
                <w:rFonts w:eastAsiaTheme="minorEastAsia"/>
                <w:sz w:val="22"/>
                <w:szCs w:val="22"/>
              </w:rPr>
              <w:t>овышение профессиональной квалификации сотрудников в  сфере  закупок,  членов  комиссии по закупкам (самообразование, повышение</w:t>
            </w:r>
          </w:p>
          <w:p w:rsidR="002D1734" w:rsidRPr="00DF20C0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квалификации, образовательные мероприятия);</w:t>
            </w:r>
          </w:p>
          <w:p w:rsidR="002D1734" w:rsidRPr="00DF20C0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734" w:rsidRPr="00DF20C0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Изучение</w:t>
            </w:r>
          </w:p>
          <w:p w:rsidR="002D1734" w:rsidRPr="00DF20C0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1560" w:type="dxa"/>
            <w:vAlign w:val="center"/>
          </w:tcPr>
          <w:p w:rsidR="002D1734" w:rsidRPr="00DB278C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Остаточный риск</w:t>
            </w:r>
          </w:p>
          <w:p w:rsidR="002D1734" w:rsidRPr="00DB278C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сохраняется, но</w:t>
            </w:r>
          </w:p>
          <w:p w:rsidR="002D1734" w:rsidRPr="00DB278C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снижается</w:t>
            </w:r>
          </w:p>
        </w:tc>
        <w:tc>
          <w:tcPr>
            <w:tcW w:w="1778" w:type="dxa"/>
            <w:vAlign w:val="center"/>
          </w:tcPr>
          <w:p w:rsidR="002D1734" w:rsidRPr="00DB278C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Сохраняется</w:t>
            </w:r>
          </w:p>
        </w:tc>
      </w:tr>
      <w:tr w:rsidR="002D1734" w:rsidRPr="00F9326A" w:rsidTr="00B16C9F">
        <w:tc>
          <w:tcPr>
            <w:tcW w:w="789" w:type="dxa"/>
            <w:vAlign w:val="center"/>
          </w:tcPr>
          <w:p w:rsidR="002D1734" w:rsidRPr="00DF20C0" w:rsidRDefault="002D1734" w:rsidP="00B16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66" w:type="dxa"/>
            <w:vAlign w:val="center"/>
          </w:tcPr>
          <w:p w:rsidR="002D1734" w:rsidRPr="00DF20C0" w:rsidRDefault="002D1734" w:rsidP="00B16C9F">
            <w:pPr>
              <w:pStyle w:val="ConsPlusNormal"/>
              <w:ind w:firstLine="0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Существенный</w:t>
            </w:r>
          </w:p>
        </w:tc>
        <w:tc>
          <w:tcPr>
            <w:tcW w:w="2798" w:type="dxa"/>
          </w:tcPr>
          <w:p w:rsidR="002D1734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  <w:r w:rsidR="00D94CEE">
              <w:rPr>
                <w:rStyle w:val="212pt"/>
                <w:rFonts w:eastAsiaTheme="minorEastAsia"/>
                <w:sz w:val="22"/>
                <w:szCs w:val="22"/>
              </w:rPr>
              <w:t>;</w:t>
            </w:r>
          </w:p>
          <w:p w:rsidR="00D94CEE" w:rsidRDefault="00D94CEE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</w:p>
          <w:p w:rsidR="002D1734" w:rsidRPr="0099389C" w:rsidRDefault="00D94CEE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Требование платы за предоставление услуг, не предусмотренной действующим законодательством</w:t>
            </w:r>
          </w:p>
        </w:tc>
        <w:tc>
          <w:tcPr>
            <w:tcW w:w="3020" w:type="dxa"/>
          </w:tcPr>
          <w:p w:rsidR="002D1734" w:rsidRPr="00AD178D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  <w:r w:rsidRPr="00AD178D">
              <w:rPr>
                <w:rFonts w:ascii="Times New Roman" w:hAnsi="Times New Roman" w:cs="Times New Roman"/>
              </w:rPr>
              <w:t>Нарушение</w:t>
            </w:r>
          </w:p>
          <w:p w:rsidR="002D1734" w:rsidRPr="00AD178D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  <w:r w:rsidRPr="00AD178D">
              <w:rPr>
                <w:rFonts w:ascii="Times New Roman" w:hAnsi="Times New Roman" w:cs="Times New Roman"/>
              </w:rPr>
              <w:t>единообразия,</w:t>
            </w:r>
          </w:p>
          <w:p w:rsidR="002D1734" w:rsidRPr="00AD178D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  <w:r w:rsidRPr="00AD178D">
              <w:rPr>
                <w:rFonts w:ascii="Times New Roman" w:hAnsi="Times New Roman" w:cs="Times New Roman"/>
              </w:rPr>
              <w:t>предоставление</w:t>
            </w:r>
          </w:p>
          <w:p w:rsidR="002D1734" w:rsidRPr="00AD178D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  <w:r w:rsidRPr="00AD178D">
              <w:rPr>
                <w:rFonts w:ascii="Times New Roman" w:hAnsi="Times New Roman" w:cs="Times New Roman"/>
              </w:rPr>
              <w:t>преимуществ</w:t>
            </w:r>
          </w:p>
          <w:p w:rsidR="002D1734" w:rsidRPr="00AD178D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  <w:r w:rsidRPr="00AD178D">
              <w:rPr>
                <w:rFonts w:ascii="Times New Roman" w:hAnsi="Times New Roman" w:cs="Times New Roman"/>
              </w:rPr>
              <w:t>отдельным</w:t>
            </w:r>
          </w:p>
          <w:p w:rsidR="002D1734" w:rsidRPr="00AD178D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  <w:r w:rsidRPr="00AD178D">
              <w:rPr>
                <w:rFonts w:ascii="Times New Roman" w:hAnsi="Times New Roman" w:cs="Times New Roman"/>
              </w:rPr>
              <w:t>хозяйствующим</w:t>
            </w:r>
          </w:p>
          <w:p w:rsidR="002D1734" w:rsidRPr="00AD178D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  <w:r w:rsidRPr="00AD178D">
              <w:rPr>
                <w:rFonts w:ascii="Times New Roman" w:hAnsi="Times New Roman" w:cs="Times New Roman"/>
              </w:rPr>
              <w:t>субъектам;</w:t>
            </w:r>
          </w:p>
          <w:p w:rsidR="002D1734" w:rsidRPr="00AD178D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</w:p>
          <w:p w:rsidR="002D1734" w:rsidRPr="00DF20C0" w:rsidRDefault="002D1734" w:rsidP="008E325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Несоблюдение установленных процедур</w:t>
            </w:r>
          </w:p>
        </w:tc>
        <w:tc>
          <w:tcPr>
            <w:tcW w:w="3075" w:type="dxa"/>
          </w:tcPr>
          <w:p w:rsidR="002D1734" w:rsidRPr="00DF20C0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 xml:space="preserve">Соблюдение административных регламентов; </w:t>
            </w:r>
          </w:p>
          <w:p w:rsidR="002D1734" w:rsidRPr="00DF20C0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</w:p>
          <w:p w:rsidR="002D1734" w:rsidRPr="00DF20C0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Style w:val="212pt"/>
                <w:rFonts w:eastAsiaTheme="minorEastAsia"/>
                <w:sz w:val="22"/>
                <w:szCs w:val="22"/>
              </w:rPr>
              <w:t>Мониторинг и анализ выявленных нарушений</w:t>
            </w:r>
          </w:p>
        </w:tc>
        <w:tc>
          <w:tcPr>
            <w:tcW w:w="1560" w:type="dxa"/>
            <w:vAlign w:val="center"/>
          </w:tcPr>
          <w:p w:rsidR="002D1734" w:rsidRPr="00DB278C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Остаточный риск сохраняется, но снижается</w:t>
            </w:r>
          </w:p>
        </w:tc>
        <w:tc>
          <w:tcPr>
            <w:tcW w:w="1778" w:type="dxa"/>
            <w:vAlign w:val="center"/>
          </w:tcPr>
          <w:p w:rsidR="002D1734" w:rsidRPr="00DB278C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B278C">
              <w:rPr>
                <w:rStyle w:val="212pt"/>
                <w:rFonts w:eastAsiaTheme="minorEastAsia"/>
                <w:sz w:val="22"/>
                <w:szCs w:val="22"/>
              </w:rPr>
              <w:t>Сохраняется</w:t>
            </w:r>
          </w:p>
        </w:tc>
      </w:tr>
      <w:tr w:rsidR="002D1734" w:rsidRPr="00F9326A" w:rsidTr="00B16C9F">
        <w:trPr>
          <w:trHeight w:val="1257"/>
        </w:trPr>
        <w:tc>
          <w:tcPr>
            <w:tcW w:w="789" w:type="dxa"/>
            <w:vAlign w:val="center"/>
          </w:tcPr>
          <w:p w:rsidR="002D1734" w:rsidRPr="00DF20C0" w:rsidRDefault="002D1734" w:rsidP="00B16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0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6" w:type="dxa"/>
            <w:vAlign w:val="center"/>
          </w:tcPr>
          <w:p w:rsidR="002D1734" w:rsidRPr="00DF20C0" w:rsidRDefault="002D1734" w:rsidP="00B16C9F">
            <w:pPr>
              <w:pStyle w:val="ConsPlusNormal"/>
              <w:ind w:firstLine="0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798" w:type="dxa"/>
          </w:tcPr>
          <w:p w:rsidR="002D1734" w:rsidRPr="00DF20C0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F20C0">
              <w:rPr>
                <w:rFonts w:ascii="Times New Roman" w:hAnsi="Times New Roman" w:cs="Times New Roman"/>
                <w:sz w:val="22"/>
                <w:szCs w:val="22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3020" w:type="dxa"/>
          </w:tcPr>
          <w:p w:rsidR="002D1734" w:rsidRPr="00DF20C0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  <w:r w:rsidRPr="00DF20C0">
              <w:rPr>
                <w:rFonts w:ascii="Times New Roman" w:hAnsi="Times New Roman" w:cs="Times New Roman"/>
              </w:rPr>
              <w:t xml:space="preserve">Заключение договоров аренды,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</w:t>
            </w:r>
            <w:r w:rsidRPr="00DF20C0">
              <w:rPr>
                <w:rFonts w:ascii="Times New Roman" w:hAnsi="Times New Roman" w:cs="Times New Roman"/>
              </w:rPr>
              <w:lastRenderedPageBreak/>
              <w:t>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владение и (или) пользование муниципальной собственности;</w:t>
            </w:r>
          </w:p>
          <w:p w:rsidR="002D1734" w:rsidRPr="00DF20C0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</w:p>
          <w:p w:rsidR="002D1734" w:rsidRPr="00DF20C0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  <w:r w:rsidRPr="00DF20C0">
              <w:rPr>
                <w:rFonts w:ascii="Times New Roman" w:hAnsi="Times New Roman" w:cs="Times New Roman"/>
              </w:rPr>
              <w:t>Утверждение конкурсной, аукционной документации с нарушением требований к предмету и участникам торгов, влекущее за собой ограничение количества участников торгов;</w:t>
            </w:r>
          </w:p>
          <w:p w:rsidR="002D1734" w:rsidRPr="00DF20C0" w:rsidRDefault="002D1734" w:rsidP="00B16C9F">
            <w:pPr>
              <w:rPr>
                <w:rFonts w:ascii="Times New Roman" w:hAnsi="Times New Roman" w:cs="Times New Roman"/>
              </w:rPr>
            </w:pPr>
          </w:p>
          <w:p w:rsidR="0021464E" w:rsidRPr="0099389C" w:rsidRDefault="002D1734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DF20C0">
              <w:rPr>
                <w:rFonts w:ascii="Times New Roman" w:hAnsi="Times New Roman" w:cs="Times New Roman"/>
                <w:sz w:val="22"/>
                <w:szCs w:val="22"/>
              </w:rPr>
              <w:t>Приватизация муниципального имущества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желающих получить такие права на муниципальное имущество, нарушение конкурентных принципов приватизации муниципального имущества</w:t>
            </w:r>
          </w:p>
        </w:tc>
        <w:tc>
          <w:tcPr>
            <w:tcW w:w="3075" w:type="dxa"/>
          </w:tcPr>
          <w:p w:rsidR="002D1734" w:rsidRPr="00DF20C0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  <w:r w:rsidRPr="00DF20C0">
              <w:rPr>
                <w:rFonts w:ascii="Times New Roman" w:hAnsi="Times New Roman" w:cs="Times New Roman"/>
              </w:rPr>
              <w:lastRenderedPageBreak/>
              <w:t xml:space="preserve"> Систематическое повышение квалификации сотрудников;</w:t>
            </w:r>
          </w:p>
          <w:p w:rsidR="002D1734" w:rsidRPr="00DF20C0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</w:p>
          <w:p w:rsidR="002D1734" w:rsidRPr="00DF20C0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  <w:r w:rsidRPr="00DF20C0">
              <w:rPr>
                <w:rFonts w:ascii="Times New Roman" w:hAnsi="Times New Roman" w:cs="Times New Roman"/>
              </w:rPr>
              <w:t>Мониторинг изменений законодательства в сфере имущественных отношений;</w:t>
            </w:r>
          </w:p>
          <w:p w:rsidR="002D1734" w:rsidRPr="00DF20C0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</w:p>
          <w:p w:rsidR="002D1734" w:rsidRPr="00DF20C0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  <w:r w:rsidRPr="00DF20C0">
              <w:rPr>
                <w:rFonts w:ascii="Times New Roman" w:hAnsi="Times New Roman" w:cs="Times New Roman"/>
              </w:rPr>
              <w:t xml:space="preserve"> Осуществление </w:t>
            </w:r>
            <w:r w:rsidRPr="00DF20C0">
              <w:rPr>
                <w:rFonts w:ascii="Times New Roman" w:hAnsi="Times New Roman" w:cs="Times New Roman"/>
              </w:rPr>
              <w:lastRenderedPageBreak/>
              <w:t>предварительного контроля документации на соответствие антимонопольному законодательству при распор</w:t>
            </w:r>
            <w:r w:rsidR="0021464E">
              <w:rPr>
                <w:rFonts w:ascii="Times New Roman" w:hAnsi="Times New Roman" w:cs="Times New Roman"/>
              </w:rPr>
              <w:t>яжении муниципальным имуществом</w:t>
            </w:r>
          </w:p>
          <w:p w:rsidR="002D1734" w:rsidRPr="00DF20C0" w:rsidRDefault="002D1734" w:rsidP="00B16C9F">
            <w:pPr>
              <w:jc w:val="center"/>
              <w:rPr>
                <w:rFonts w:ascii="Times New Roman" w:hAnsi="Times New Roman" w:cs="Times New Roman"/>
              </w:rPr>
            </w:pPr>
          </w:p>
          <w:p w:rsidR="002D1734" w:rsidRPr="00DF20C0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D1734" w:rsidRPr="00DB278C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B278C">
              <w:rPr>
                <w:rStyle w:val="212pt"/>
                <w:rFonts w:eastAsia="Calibri"/>
                <w:sz w:val="22"/>
                <w:szCs w:val="22"/>
              </w:rPr>
              <w:lastRenderedPageBreak/>
              <w:t>Остаточный риск сохраняется, но снижается</w:t>
            </w:r>
          </w:p>
        </w:tc>
        <w:tc>
          <w:tcPr>
            <w:tcW w:w="1778" w:type="dxa"/>
            <w:vAlign w:val="center"/>
          </w:tcPr>
          <w:p w:rsidR="002D1734" w:rsidRPr="00DB278C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  <w:sz w:val="22"/>
                <w:szCs w:val="22"/>
              </w:rPr>
            </w:pPr>
            <w:r w:rsidRPr="00DB278C">
              <w:rPr>
                <w:rStyle w:val="212pt"/>
                <w:rFonts w:eastAsia="Calibri"/>
                <w:sz w:val="22"/>
                <w:szCs w:val="22"/>
              </w:rPr>
              <w:t>Сохраняется</w:t>
            </w:r>
          </w:p>
        </w:tc>
      </w:tr>
    </w:tbl>
    <w:p w:rsidR="002D1734" w:rsidRDefault="002D1734" w:rsidP="002D1734">
      <w:pPr>
        <w:spacing w:after="0"/>
        <w:rPr>
          <w:rFonts w:ascii="Times New Roman" w:hAnsi="Times New Roman" w:cs="Times New Roman"/>
          <w:sz w:val="24"/>
          <w:szCs w:val="24"/>
        </w:rPr>
        <w:sectPr w:rsidR="002D1734" w:rsidSect="00DD00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1734" w:rsidRPr="00BD3D7B" w:rsidRDefault="002D1734" w:rsidP="002D1734">
      <w:pPr>
        <w:pStyle w:val="ConsPlusNormal"/>
        <w:ind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</w:t>
      </w:r>
      <w:r w:rsidRPr="00BD3D7B">
        <w:rPr>
          <w:rFonts w:ascii="Times New Roman" w:hAnsi="Times New Roman"/>
          <w:sz w:val="20"/>
        </w:rPr>
        <w:t>Приложение</w:t>
      </w:r>
      <w:r>
        <w:rPr>
          <w:rFonts w:ascii="Times New Roman" w:hAnsi="Times New Roman"/>
          <w:sz w:val="20"/>
        </w:rPr>
        <w:t xml:space="preserve"> №2</w:t>
      </w:r>
      <w:r w:rsidRPr="00BD3D7B">
        <w:rPr>
          <w:rFonts w:ascii="Times New Roman" w:hAnsi="Times New Roman"/>
          <w:sz w:val="20"/>
        </w:rPr>
        <w:t xml:space="preserve"> к постановлению</w:t>
      </w:r>
    </w:p>
    <w:p w:rsidR="0008232B" w:rsidRPr="00580909" w:rsidRDefault="002D1734" w:rsidP="0008232B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BD3D7B">
        <w:rPr>
          <w:rFonts w:ascii="Times New Roman" w:hAnsi="Times New Roman"/>
          <w:sz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</w:t>
      </w:r>
      <w:r w:rsidR="0008232B">
        <w:rPr>
          <w:rFonts w:ascii="Times New Roman" w:hAnsi="Times New Roman" w:cs="Times New Roman"/>
          <w:sz w:val="20"/>
          <w:szCs w:val="20"/>
        </w:rPr>
        <w:t>от</w:t>
      </w:r>
      <w:r w:rsidR="000823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8232B" w:rsidRPr="00580909">
        <w:rPr>
          <w:rFonts w:ascii="Times New Roman" w:hAnsi="Times New Roman" w:cs="Times New Roman"/>
          <w:sz w:val="20"/>
          <w:szCs w:val="20"/>
          <w:u w:val="single"/>
          <w:lang w:val="en-US"/>
        </w:rPr>
        <w:t>22.02.2022</w:t>
      </w:r>
      <w:r w:rsidR="000823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8232B">
        <w:rPr>
          <w:rFonts w:ascii="Times New Roman" w:hAnsi="Times New Roman" w:cs="Times New Roman"/>
          <w:sz w:val="20"/>
          <w:szCs w:val="20"/>
        </w:rPr>
        <w:t>№</w:t>
      </w:r>
      <w:r w:rsidR="0008232B" w:rsidRPr="00580909">
        <w:rPr>
          <w:rFonts w:ascii="Times New Roman" w:hAnsi="Times New Roman" w:cs="Times New Roman"/>
          <w:sz w:val="20"/>
          <w:szCs w:val="20"/>
          <w:u w:val="single"/>
        </w:rPr>
        <w:t>178</w:t>
      </w:r>
    </w:p>
    <w:p w:rsidR="002D1734" w:rsidRDefault="002D1734" w:rsidP="002D1734">
      <w:pPr>
        <w:spacing w:after="0"/>
        <w:rPr>
          <w:rFonts w:ascii="Times New Roman" w:hAnsi="Times New Roman"/>
          <w:sz w:val="20"/>
        </w:rPr>
      </w:pPr>
    </w:p>
    <w:p w:rsidR="002D1734" w:rsidRDefault="002D1734" w:rsidP="002D1734">
      <w:pPr>
        <w:spacing w:after="0"/>
        <w:rPr>
          <w:rFonts w:ascii="Times New Roman" w:hAnsi="Times New Roman"/>
          <w:sz w:val="20"/>
        </w:rPr>
      </w:pPr>
    </w:p>
    <w:p w:rsidR="002D1734" w:rsidRDefault="002D1734" w:rsidP="002D1734">
      <w:pPr>
        <w:spacing w:after="0"/>
        <w:rPr>
          <w:rFonts w:ascii="Times New Roman" w:hAnsi="Times New Roman"/>
          <w:sz w:val="20"/>
        </w:rPr>
      </w:pPr>
    </w:p>
    <w:p w:rsidR="002D1734" w:rsidRPr="007A5B74" w:rsidRDefault="002D1734" w:rsidP="002D1734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(«д</w:t>
      </w:r>
      <w:r w:rsidRPr="007A5B74">
        <w:rPr>
          <w:rFonts w:ascii="Times New Roman" w:hAnsi="Times New Roman" w:cs="Times New Roman"/>
          <w:b/>
          <w:sz w:val="24"/>
          <w:szCs w:val="24"/>
        </w:rPr>
        <w:t>орожная карта»)</w:t>
      </w:r>
    </w:p>
    <w:p w:rsidR="002D1734" w:rsidRPr="00803F75" w:rsidRDefault="002D1734" w:rsidP="002D1734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7A5B74">
        <w:rPr>
          <w:rFonts w:ascii="Times New Roman" w:hAnsi="Times New Roman" w:cs="Times New Roman"/>
          <w:b/>
          <w:sz w:val="24"/>
          <w:szCs w:val="24"/>
        </w:rPr>
        <w:t xml:space="preserve">по снижению рисков нарушения антимонопольного законодательства (комплаенс - рисков) в администрации Базарно-Карабулакского муниципального района Саратовской области </w:t>
      </w:r>
      <w:r w:rsidR="00AF7080">
        <w:rPr>
          <w:rFonts w:ascii="Times New Roman" w:hAnsi="Times New Roman" w:cs="Times New Roman"/>
          <w:b/>
          <w:sz w:val="24"/>
          <w:szCs w:val="24"/>
        </w:rPr>
        <w:t>на 2022</w:t>
      </w:r>
      <w:r w:rsidRPr="007A5B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D1734" w:rsidRDefault="002D1734" w:rsidP="002D1734">
      <w:pPr>
        <w:pStyle w:val="60"/>
        <w:shd w:val="clear" w:color="auto" w:fill="auto"/>
        <w:spacing w:before="0" w:after="0"/>
        <w:ind w:left="20"/>
        <w:rPr>
          <w:sz w:val="2"/>
          <w:szCs w:val="2"/>
        </w:rPr>
      </w:pPr>
    </w:p>
    <w:tbl>
      <w:tblPr>
        <w:tblStyle w:val="a5"/>
        <w:tblW w:w="0" w:type="auto"/>
        <w:tblInd w:w="20" w:type="dxa"/>
        <w:tblLook w:val="04A0"/>
      </w:tblPr>
      <w:tblGrid>
        <w:gridCol w:w="939"/>
        <w:gridCol w:w="4111"/>
        <w:gridCol w:w="2835"/>
        <w:gridCol w:w="2976"/>
        <w:gridCol w:w="1560"/>
        <w:gridCol w:w="2345"/>
      </w:tblGrid>
      <w:tr w:rsidR="002D1734" w:rsidRPr="0069576E" w:rsidTr="00B16C9F">
        <w:tc>
          <w:tcPr>
            <w:tcW w:w="939" w:type="dxa"/>
          </w:tcPr>
          <w:p w:rsidR="002D1734" w:rsidRPr="0069576E" w:rsidRDefault="002D1734" w:rsidP="00B16C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№</w:t>
            </w:r>
          </w:p>
          <w:p w:rsidR="002D1734" w:rsidRPr="0069576E" w:rsidRDefault="002D1734" w:rsidP="00B16C9F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п/п</w:t>
            </w:r>
          </w:p>
        </w:tc>
        <w:tc>
          <w:tcPr>
            <w:tcW w:w="4111" w:type="dxa"/>
          </w:tcPr>
          <w:p w:rsidR="002D1734" w:rsidRPr="0069576E" w:rsidRDefault="002D1734" w:rsidP="00B16C9F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Описание рисков</w:t>
            </w:r>
          </w:p>
        </w:tc>
        <w:tc>
          <w:tcPr>
            <w:tcW w:w="2835" w:type="dxa"/>
          </w:tcPr>
          <w:p w:rsidR="002D1734" w:rsidRPr="0069576E" w:rsidRDefault="002D1734" w:rsidP="00B16C9F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Мероприятие</w:t>
            </w:r>
          </w:p>
        </w:tc>
        <w:tc>
          <w:tcPr>
            <w:tcW w:w="2976" w:type="dxa"/>
          </w:tcPr>
          <w:p w:rsidR="002D1734" w:rsidRPr="0069576E" w:rsidRDefault="002D1734" w:rsidP="00B16C9F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Показатель</w:t>
            </w:r>
          </w:p>
        </w:tc>
        <w:tc>
          <w:tcPr>
            <w:tcW w:w="1560" w:type="dxa"/>
          </w:tcPr>
          <w:p w:rsidR="002D1734" w:rsidRPr="0069576E" w:rsidRDefault="002D1734" w:rsidP="00B16C9F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Срок</w:t>
            </w:r>
          </w:p>
        </w:tc>
        <w:tc>
          <w:tcPr>
            <w:tcW w:w="2345" w:type="dxa"/>
          </w:tcPr>
          <w:p w:rsidR="002D1734" w:rsidRPr="0069576E" w:rsidRDefault="002D1734" w:rsidP="00B16C9F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Ответственный</w:t>
            </w:r>
          </w:p>
        </w:tc>
      </w:tr>
      <w:tr w:rsidR="00655E86" w:rsidRPr="0069576E" w:rsidTr="0099389C">
        <w:tc>
          <w:tcPr>
            <w:tcW w:w="939" w:type="dxa"/>
            <w:vMerge w:val="restart"/>
            <w:vAlign w:val="center"/>
          </w:tcPr>
          <w:p w:rsidR="00655E86" w:rsidRPr="0069576E" w:rsidRDefault="00655E86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1.</w:t>
            </w:r>
          </w:p>
          <w:p w:rsidR="00655E86" w:rsidRPr="0069576E" w:rsidRDefault="00655E86" w:rsidP="0099389C">
            <w:pPr>
              <w:pStyle w:val="20"/>
              <w:spacing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55E86" w:rsidRPr="0069576E" w:rsidRDefault="00655E86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актов, соглашений и осуществление действий (бездействия), которые могут привести к ущемлению интересов хозяйствующих субъектов</w:t>
            </w:r>
          </w:p>
        </w:tc>
        <w:tc>
          <w:tcPr>
            <w:tcW w:w="2835" w:type="dxa"/>
          </w:tcPr>
          <w:p w:rsidR="00655E86" w:rsidRPr="0069576E" w:rsidRDefault="00655E86" w:rsidP="0099389C">
            <w:pPr>
              <w:jc w:val="center"/>
              <w:rPr>
                <w:rStyle w:val="212pt"/>
                <w:rFonts w:eastAsiaTheme="minorEastAsia"/>
                <w:color w:val="auto"/>
                <w:shd w:val="clear" w:color="auto" w:fill="auto"/>
                <w:lang w:bidi="ar-SA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должностных лиц, ответственных за разработку проектов правовых актов</w:t>
            </w:r>
          </w:p>
        </w:tc>
        <w:tc>
          <w:tcPr>
            <w:tcW w:w="2976" w:type="dxa"/>
            <w:vMerge w:val="restart"/>
            <w:vAlign w:val="center"/>
          </w:tcPr>
          <w:p w:rsidR="00655E86" w:rsidRPr="0069576E" w:rsidRDefault="00655E86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Выявление и снижение рисков, предотвращение и (или) выявление нарушений, вводящих избыточные обязанности, запреты и ограничения для хозяйствующих субъектов</w:t>
            </w:r>
          </w:p>
        </w:tc>
        <w:tc>
          <w:tcPr>
            <w:tcW w:w="1560" w:type="dxa"/>
            <w:vMerge w:val="restart"/>
            <w:vAlign w:val="center"/>
          </w:tcPr>
          <w:p w:rsidR="00655E86" w:rsidRPr="0069576E" w:rsidRDefault="00655E86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2022 г.</w:t>
            </w:r>
          </w:p>
          <w:p w:rsidR="00655E86" w:rsidRPr="0069576E" w:rsidRDefault="00655E86" w:rsidP="0099389C">
            <w:pPr>
              <w:pStyle w:val="60"/>
              <w:spacing w:after="0" w:line="240" w:lineRule="auto"/>
              <w:rPr>
                <w:rStyle w:val="212pt"/>
                <w:rFonts w:eastAsiaTheme="minorEastAsia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655E86" w:rsidRPr="0069576E" w:rsidRDefault="00655E86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Сектор по экономике и инвестициям,</w:t>
            </w:r>
          </w:p>
          <w:p w:rsidR="00655E86" w:rsidRPr="0069576E" w:rsidRDefault="00655E86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</w:p>
          <w:p w:rsidR="00655E86" w:rsidRPr="0069576E" w:rsidRDefault="00655E86" w:rsidP="0099389C">
            <w:pPr>
              <w:jc w:val="center"/>
              <w:rPr>
                <w:rStyle w:val="212pt"/>
                <w:rFonts w:eastAsiaTheme="minorEastAsia"/>
                <w:lang w:eastAsia="en-US" w:bidi="en-US"/>
              </w:rPr>
            </w:pPr>
            <w:r w:rsidRPr="0069576E">
              <w:rPr>
                <w:rStyle w:val="212pt"/>
                <w:rFonts w:eastAsiaTheme="minorEastAsia"/>
              </w:rPr>
              <w:t>Структурные подразделения администрации,  разрабатывающие проекты  НПА</w:t>
            </w:r>
            <w:r w:rsidRPr="0069576E">
              <w:rPr>
                <w:rStyle w:val="212pt"/>
                <w:rFonts w:eastAsiaTheme="minorEastAsia"/>
                <w:lang w:eastAsia="en-US" w:bidi="en-US"/>
              </w:rPr>
              <w:t>,</w:t>
            </w:r>
          </w:p>
          <w:p w:rsidR="0099389C" w:rsidRPr="0069576E" w:rsidRDefault="0099389C" w:rsidP="0099389C">
            <w:pPr>
              <w:jc w:val="center"/>
              <w:rPr>
                <w:rStyle w:val="212pt"/>
                <w:rFonts w:eastAsiaTheme="minorEastAsia"/>
                <w:lang w:eastAsia="en-US" w:bidi="en-US"/>
              </w:rPr>
            </w:pPr>
          </w:p>
          <w:p w:rsidR="00655E86" w:rsidRPr="0069576E" w:rsidRDefault="00655E86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655E86" w:rsidRPr="0069576E" w:rsidTr="00B16C9F">
        <w:tc>
          <w:tcPr>
            <w:tcW w:w="939" w:type="dxa"/>
            <w:vMerge/>
          </w:tcPr>
          <w:p w:rsidR="00655E86" w:rsidRPr="0069576E" w:rsidRDefault="00655E86" w:rsidP="0099389C">
            <w:pPr>
              <w:pStyle w:val="20"/>
              <w:spacing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4111" w:type="dxa"/>
            <w:vMerge/>
            <w:vAlign w:val="center"/>
          </w:tcPr>
          <w:p w:rsidR="00655E86" w:rsidRPr="0069576E" w:rsidRDefault="00655E86" w:rsidP="0099389C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E86" w:rsidRPr="0069576E" w:rsidRDefault="00655E86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9576E">
              <w:rPr>
                <w:rStyle w:val="212pt"/>
                <w:rFonts w:eastAsiaTheme="minorEastAsia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2976" w:type="dxa"/>
            <w:vMerge/>
          </w:tcPr>
          <w:p w:rsidR="00655E86" w:rsidRPr="0069576E" w:rsidRDefault="00655E86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</w:p>
        </w:tc>
        <w:tc>
          <w:tcPr>
            <w:tcW w:w="1560" w:type="dxa"/>
            <w:vMerge/>
          </w:tcPr>
          <w:p w:rsidR="00655E86" w:rsidRPr="0069576E" w:rsidRDefault="00655E86" w:rsidP="0099389C">
            <w:pPr>
              <w:pStyle w:val="60"/>
              <w:spacing w:after="0" w:line="240" w:lineRule="auto"/>
              <w:rPr>
                <w:rStyle w:val="212pt"/>
                <w:rFonts w:eastAsiaTheme="minorEastAsia"/>
              </w:rPr>
            </w:pPr>
          </w:p>
        </w:tc>
        <w:tc>
          <w:tcPr>
            <w:tcW w:w="2345" w:type="dxa"/>
            <w:vMerge/>
          </w:tcPr>
          <w:p w:rsidR="00655E86" w:rsidRPr="0069576E" w:rsidRDefault="00655E86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86" w:rsidRPr="0069576E" w:rsidTr="00B16C9F">
        <w:tc>
          <w:tcPr>
            <w:tcW w:w="939" w:type="dxa"/>
            <w:vMerge/>
          </w:tcPr>
          <w:p w:rsidR="00655E86" w:rsidRPr="0069576E" w:rsidRDefault="00655E86" w:rsidP="0099389C">
            <w:pPr>
              <w:pStyle w:val="20"/>
              <w:spacing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4111" w:type="dxa"/>
            <w:vMerge/>
            <w:vAlign w:val="center"/>
          </w:tcPr>
          <w:p w:rsidR="00655E86" w:rsidRPr="0069576E" w:rsidRDefault="00655E86" w:rsidP="0099389C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E86" w:rsidRPr="0069576E" w:rsidRDefault="00655E86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Проведение правовой экспертизы проектов НПА на предмет соответствия ан</w:t>
            </w:r>
            <w:r w:rsidR="0099389C" w:rsidRPr="0069576E">
              <w:rPr>
                <w:rStyle w:val="212pt"/>
                <w:rFonts w:eastAsiaTheme="minorEastAsia"/>
              </w:rPr>
              <w:t>тимонопольному законодательству</w:t>
            </w:r>
          </w:p>
        </w:tc>
        <w:tc>
          <w:tcPr>
            <w:tcW w:w="2976" w:type="dxa"/>
            <w:vMerge/>
          </w:tcPr>
          <w:p w:rsidR="00655E86" w:rsidRPr="0069576E" w:rsidRDefault="00655E86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</w:p>
        </w:tc>
        <w:tc>
          <w:tcPr>
            <w:tcW w:w="1560" w:type="dxa"/>
            <w:vMerge/>
          </w:tcPr>
          <w:p w:rsidR="00655E86" w:rsidRPr="0069576E" w:rsidRDefault="00655E86" w:rsidP="0099389C">
            <w:pPr>
              <w:pStyle w:val="60"/>
              <w:spacing w:after="0" w:line="240" w:lineRule="auto"/>
              <w:rPr>
                <w:rStyle w:val="212pt"/>
                <w:rFonts w:eastAsiaTheme="minorEastAsia"/>
              </w:rPr>
            </w:pPr>
          </w:p>
        </w:tc>
        <w:tc>
          <w:tcPr>
            <w:tcW w:w="2345" w:type="dxa"/>
            <w:vMerge/>
          </w:tcPr>
          <w:p w:rsidR="00655E86" w:rsidRPr="0069576E" w:rsidRDefault="00655E86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86" w:rsidRPr="0069576E" w:rsidTr="00B16C9F">
        <w:tc>
          <w:tcPr>
            <w:tcW w:w="939" w:type="dxa"/>
            <w:vMerge/>
          </w:tcPr>
          <w:p w:rsidR="00655E86" w:rsidRPr="0069576E" w:rsidRDefault="00655E86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4111" w:type="dxa"/>
            <w:vMerge/>
          </w:tcPr>
          <w:p w:rsidR="00655E86" w:rsidRPr="0069576E" w:rsidRDefault="00655E86" w:rsidP="0099389C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E86" w:rsidRPr="0069576E" w:rsidRDefault="00655E86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 xml:space="preserve">Обеспечение ведения на официальном сайте Администрации разделов «Оценка регулирующего </w:t>
            </w:r>
            <w:r w:rsidRPr="0069576E">
              <w:rPr>
                <w:rStyle w:val="212pt"/>
                <w:rFonts w:eastAsiaTheme="minorEastAsia"/>
              </w:rPr>
              <w:lastRenderedPageBreak/>
              <w:t>воздействия проектов НП</w:t>
            </w:r>
            <w:r w:rsidRPr="0069576E">
              <w:rPr>
                <w:rStyle w:val="212pt"/>
                <w:rFonts w:eastAsiaTheme="minorEastAsia"/>
                <w:lang w:val="en-US" w:eastAsia="en-US" w:bidi="en-US"/>
              </w:rPr>
              <w:t>A</w:t>
            </w:r>
            <w:r w:rsidRPr="0069576E">
              <w:rPr>
                <w:rStyle w:val="212pt"/>
                <w:rFonts w:eastAsiaTheme="minorEastAsia"/>
                <w:lang w:eastAsia="en-US" w:bidi="en-US"/>
              </w:rPr>
              <w:t xml:space="preserve"> </w:t>
            </w:r>
            <w:r w:rsidRPr="0069576E">
              <w:rPr>
                <w:rStyle w:val="212pt"/>
                <w:rFonts w:eastAsiaTheme="minorEastAsia"/>
              </w:rPr>
              <w:t>и экспертиза НПА»</w:t>
            </w:r>
          </w:p>
        </w:tc>
        <w:tc>
          <w:tcPr>
            <w:tcW w:w="2976" w:type="dxa"/>
          </w:tcPr>
          <w:p w:rsidR="00655E86" w:rsidRPr="0069576E" w:rsidRDefault="00655E86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lastRenderedPageBreak/>
              <w:t>Обеспечение открытости и доступности информации о  НПА</w:t>
            </w:r>
          </w:p>
        </w:tc>
        <w:tc>
          <w:tcPr>
            <w:tcW w:w="1560" w:type="dxa"/>
            <w:vMerge/>
          </w:tcPr>
          <w:p w:rsidR="00655E86" w:rsidRPr="0069576E" w:rsidRDefault="00655E86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</w:p>
        </w:tc>
        <w:tc>
          <w:tcPr>
            <w:tcW w:w="2345" w:type="dxa"/>
          </w:tcPr>
          <w:p w:rsidR="00655E86" w:rsidRPr="0069576E" w:rsidRDefault="00655E86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Сектор по экономике и инвестициям</w:t>
            </w:r>
          </w:p>
          <w:p w:rsidR="00655E86" w:rsidRPr="0069576E" w:rsidRDefault="00655E86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02" w:rsidRPr="0069576E" w:rsidTr="0099389C">
        <w:tc>
          <w:tcPr>
            <w:tcW w:w="939" w:type="dxa"/>
            <w:vMerge w:val="restart"/>
            <w:vAlign w:val="center"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lastRenderedPageBreak/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нужд;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280" w:after="2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Ограничение количества участников закупки</w:t>
            </w:r>
            <w:r w:rsidRPr="0069576E">
              <w:rPr>
                <w:sz w:val="24"/>
                <w:szCs w:val="24"/>
              </w:rPr>
              <w:t>;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Совершение    комиссией  по  осуществлению закупок действий</w:t>
            </w:r>
          </w:p>
          <w:p w:rsidR="00BC0602" w:rsidRPr="0069576E" w:rsidRDefault="00BC0602" w:rsidP="0099389C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ограничивающих  конкуренцию</w:t>
            </w:r>
          </w:p>
        </w:tc>
        <w:tc>
          <w:tcPr>
            <w:tcW w:w="2835" w:type="dxa"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Повышение профессиональной квалификации сотрудников в  сфере  закупок,  членов  комиссии по закупкам (самообразование, повышение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квалификации, образовательные мероприятия)</w:t>
            </w:r>
          </w:p>
        </w:tc>
        <w:tc>
          <w:tcPr>
            <w:tcW w:w="2976" w:type="dxa"/>
          </w:tcPr>
          <w:p w:rsidR="00BC0602" w:rsidRPr="0069576E" w:rsidRDefault="00BC0602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Повышение уровня правовой грамотности сотрудников в сфере закупочной деятельности</w:t>
            </w:r>
          </w:p>
        </w:tc>
        <w:tc>
          <w:tcPr>
            <w:tcW w:w="1560" w:type="dxa"/>
            <w:vMerge w:val="restart"/>
            <w:vAlign w:val="center"/>
          </w:tcPr>
          <w:p w:rsidR="00BC0602" w:rsidRPr="0069576E" w:rsidRDefault="00BC0602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2022 г.</w:t>
            </w:r>
          </w:p>
          <w:p w:rsidR="00BC0602" w:rsidRPr="0069576E" w:rsidRDefault="00BC0602" w:rsidP="0099389C">
            <w:pPr>
              <w:pStyle w:val="60"/>
              <w:spacing w:after="0" w:line="240" w:lineRule="auto"/>
              <w:rPr>
                <w:rStyle w:val="212pt"/>
                <w:rFonts w:eastAsiaTheme="minorEastAsia"/>
              </w:rPr>
            </w:pPr>
          </w:p>
        </w:tc>
        <w:tc>
          <w:tcPr>
            <w:tcW w:w="2345" w:type="dxa"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Сектор по закупкам для муниципальных нужд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02" w:rsidRPr="0069576E" w:rsidTr="00B16C9F">
        <w:tc>
          <w:tcPr>
            <w:tcW w:w="939" w:type="dxa"/>
            <w:vMerge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4111" w:type="dxa"/>
            <w:vMerge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2835" w:type="dxa"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Изучение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 xml:space="preserve">правоприменительной практики и мониторинг изменений законодательства </w:t>
            </w:r>
          </w:p>
        </w:tc>
        <w:tc>
          <w:tcPr>
            <w:tcW w:w="2976" w:type="dxa"/>
          </w:tcPr>
          <w:p w:rsidR="00BC0602" w:rsidRPr="0069576E" w:rsidRDefault="00BC0602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Соблюдение требований при проведении закупок</w:t>
            </w:r>
          </w:p>
        </w:tc>
        <w:tc>
          <w:tcPr>
            <w:tcW w:w="1560" w:type="dxa"/>
            <w:vMerge/>
          </w:tcPr>
          <w:p w:rsidR="00BC0602" w:rsidRPr="0069576E" w:rsidRDefault="00BC0602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</w:p>
        </w:tc>
        <w:tc>
          <w:tcPr>
            <w:tcW w:w="2345" w:type="dxa"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Сектор по закупкам для муниципальных нужд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BC0602" w:rsidRPr="0069576E" w:rsidTr="0069576E">
        <w:tc>
          <w:tcPr>
            <w:tcW w:w="939" w:type="dxa"/>
            <w:vMerge w:val="restart"/>
            <w:vAlign w:val="center"/>
          </w:tcPr>
          <w:p w:rsidR="00BC0602" w:rsidRPr="0069576E" w:rsidRDefault="00BC0602" w:rsidP="0069576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3.</w:t>
            </w:r>
          </w:p>
          <w:p w:rsidR="00BC0602" w:rsidRPr="0069576E" w:rsidRDefault="00BC0602" w:rsidP="0069576E">
            <w:pPr>
              <w:pStyle w:val="20"/>
              <w:spacing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Истребование документов, непредусмотренных действующим законодательством при оказании услуг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Требование платы за предоставление услуг, не предусмотренной действующим законодательством</w:t>
            </w:r>
          </w:p>
        </w:tc>
        <w:tc>
          <w:tcPr>
            <w:tcW w:w="2835" w:type="dxa"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Соблюдение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административных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регламентов</w:t>
            </w:r>
          </w:p>
        </w:tc>
        <w:tc>
          <w:tcPr>
            <w:tcW w:w="2976" w:type="dxa"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Исключение предоставления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преимуществ отдельным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хозяйствующим субъектам,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несоблюдения установленных процедур и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затягивания сроков рассмотрения</w:t>
            </w:r>
          </w:p>
          <w:p w:rsidR="00BC0602" w:rsidRPr="0069576E" w:rsidRDefault="00BC0602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документов</w:t>
            </w:r>
          </w:p>
        </w:tc>
        <w:tc>
          <w:tcPr>
            <w:tcW w:w="1560" w:type="dxa"/>
            <w:vMerge w:val="restart"/>
            <w:vAlign w:val="center"/>
          </w:tcPr>
          <w:p w:rsidR="00BC0602" w:rsidRPr="0069576E" w:rsidRDefault="00BC0602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t>2022 г.</w:t>
            </w:r>
          </w:p>
          <w:p w:rsidR="00BC0602" w:rsidRPr="0069576E" w:rsidRDefault="00BC0602" w:rsidP="0099389C">
            <w:pPr>
              <w:pStyle w:val="60"/>
              <w:spacing w:after="0" w:line="240" w:lineRule="auto"/>
              <w:rPr>
                <w:rStyle w:val="212pt"/>
                <w:rFonts w:eastAsiaTheme="minorEastAsia"/>
              </w:rPr>
            </w:pPr>
          </w:p>
        </w:tc>
        <w:tc>
          <w:tcPr>
            <w:tcW w:w="2345" w:type="dxa"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Структурные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 xml:space="preserve">подразделения администрации  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02" w:rsidRPr="0069576E" w:rsidTr="00B16C9F">
        <w:tc>
          <w:tcPr>
            <w:tcW w:w="939" w:type="dxa"/>
            <w:vMerge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4111" w:type="dxa"/>
            <w:vMerge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2835" w:type="dxa"/>
          </w:tcPr>
          <w:p w:rsidR="00BC0602" w:rsidRPr="0069576E" w:rsidRDefault="00BC0602" w:rsidP="009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выявленных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2976" w:type="dxa"/>
          </w:tcPr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внутреннего контроля</w:t>
            </w:r>
          </w:p>
        </w:tc>
        <w:tc>
          <w:tcPr>
            <w:tcW w:w="1560" w:type="dxa"/>
            <w:vMerge/>
          </w:tcPr>
          <w:p w:rsidR="00BC0602" w:rsidRPr="0069576E" w:rsidRDefault="00BC0602" w:rsidP="0099389C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eastAsiaTheme="minorEastAsia"/>
              </w:rPr>
            </w:pPr>
          </w:p>
        </w:tc>
        <w:tc>
          <w:tcPr>
            <w:tcW w:w="2345" w:type="dxa"/>
          </w:tcPr>
          <w:p w:rsidR="00BC0602" w:rsidRPr="0069576E" w:rsidRDefault="00BC0602" w:rsidP="009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администрации,</w:t>
            </w:r>
          </w:p>
          <w:p w:rsidR="00BC0602" w:rsidRPr="0069576E" w:rsidRDefault="00BC0602" w:rsidP="009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02" w:rsidRPr="0069576E" w:rsidRDefault="00BC0602" w:rsidP="009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Отдел</w:t>
            </w:r>
            <w:r w:rsidRPr="00695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транспорту, </w:t>
            </w:r>
            <w:r w:rsidRPr="00695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строительству и ЖКХ,</w:t>
            </w:r>
          </w:p>
          <w:p w:rsidR="00BC0602" w:rsidRPr="0069576E" w:rsidRDefault="00BC0602" w:rsidP="009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C0602" w:rsidRPr="0069576E" w:rsidRDefault="00BC0602" w:rsidP="009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Юридический отдел,</w:t>
            </w:r>
          </w:p>
          <w:p w:rsidR="00BC0602" w:rsidRPr="0069576E" w:rsidRDefault="00BC0602" w:rsidP="009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Сектор по экономике и инвестициям,</w:t>
            </w: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02" w:rsidRPr="0069576E" w:rsidRDefault="00BC0602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отношениям, архитектуре и строительству</w:t>
            </w:r>
          </w:p>
        </w:tc>
      </w:tr>
      <w:tr w:rsidR="00180191" w:rsidRPr="0069576E" w:rsidTr="0069576E">
        <w:tc>
          <w:tcPr>
            <w:tcW w:w="939" w:type="dxa"/>
            <w:vMerge w:val="restart"/>
            <w:vAlign w:val="center"/>
          </w:tcPr>
          <w:p w:rsidR="00180191" w:rsidRPr="0069576E" w:rsidRDefault="00180191" w:rsidP="0069576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Style w:val="212pt"/>
                <w:rFonts w:eastAsiaTheme="minorEastAsia"/>
              </w:rPr>
              <w:lastRenderedPageBreak/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2835" w:type="dxa"/>
          </w:tcPr>
          <w:p w:rsidR="00180191" w:rsidRPr="0069576E" w:rsidRDefault="00180191" w:rsidP="0069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Систематическое повышение квалификации сотрудников</w:t>
            </w:r>
          </w:p>
        </w:tc>
        <w:tc>
          <w:tcPr>
            <w:tcW w:w="2976" w:type="dxa"/>
            <w:vMerge w:val="restart"/>
            <w:vAlign w:val="center"/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Style w:val="212pt"/>
                <w:rFonts w:eastAsiaTheme="minorEastAsia"/>
              </w:rPr>
              <w:t>Повышение уровня правовой грамотности сотрудников</w:t>
            </w:r>
          </w:p>
        </w:tc>
        <w:tc>
          <w:tcPr>
            <w:tcW w:w="1560" w:type="dxa"/>
            <w:vMerge w:val="restart"/>
            <w:vAlign w:val="center"/>
          </w:tcPr>
          <w:p w:rsidR="00180191" w:rsidRPr="0069576E" w:rsidRDefault="00180191" w:rsidP="0099389C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345" w:type="dxa"/>
            <w:vMerge w:val="restart"/>
            <w:vAlign w:val="center"/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отношениям, архитектуре и строительству</w:t>
            </w:r>
          </w:p>
        </w:tc>
      </w:tr>
      <w:tr w:rsidR="00180191" w:rsidRPr="0069576E" w:rsidTr="00180191">
        <w:tc>
          <w:tcPr>
            <w:tcW w:w="939" w:type="dxa"/>
            <w:vMerge/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4111" w:type="dxa"/>
            <w:vMerge/>
            <w:vAlign w:val="center"/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0191" w:rsidRPr="0069576E" w:rsidRDefault="00180191" w:rsidP="009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2976" w:type="dxa"/>
            <w:vMerge/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1560" w:type="dxa"/>
            <w:vMerge/>
          </w:tcPr>
          <w:p w:rsidR="00180191" w:rsidRPr="0069576E" w:rsidRDefault="00180191" w:rsidP="0099389C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91" w:rsidRPr="0069576E" w:rsidTr="00B16C9F">
        <w:tc>
          <w:tcPr>
            <w:tcW w:w="939" w:type="dxa"/>
            <w:vMerge/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4111" w:type="dxa"/>
            <w:vMerge/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0191" w:rsidRPr="0069576E" w:rsidRDefault="00180191" w:rsidP="0069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в сфере имущественных отношений</w:t>
            </w:r>
          </w:p>
        </w:tc>
        <w:tc>
          <w:tcPr>
            <w:tcW w:w="2976" w:type="dxa"/>
            <w:vMerge/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1560" w:type="dxa"/>
            <w:vMerge/>
          </w:tcPr>
          <w:p w:rsidR="00180191" w:rsidRPr="0069576E" w:rsidRDefault="00180191" w:rsidP="0099389C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 w:val="restart"/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отношениям, архитектуре и </w:t>
            </w:r>
            <w:r w:rsidRPr="00695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строительству,</w:t>
            </w:r>
          </w:p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180191" w:rsidRPr="0069576E" w:rsidTr="00A77372">
        <w:trPr>
          <w:trHeight w:val="2530"/>
        </w:trPr>
        <w:tc>
          <w:tcPr>
            <w:tcW w:w="939" w:type="dxa"/>
            <w:vMerge/>
            <w:tcBorders>
              <w:bottom w:val="single" w:sz="4" w:space="0" w:color="000000" w:themeColor="text1"/>
            </w:tcBorders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 w:themeColor="text1"/>
            </w:tcBorders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80191" w:rsidRPr="0069576E" w:rsidRDefault="00180191" w:rsidP="009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E">
              <w:rPr>
                <w:rFonts w:ascii="Times New Roman" w:hAnsi="Times New Roman" w:cs="Times New Roman"/>
                <w:sz w:val="24"/>
                <w:szCs w:val="24"/>
              </w:rPr>
              <w:t>Осуществление предварительного контроля документации на соответствие антимонопольному законодательству при распоряжении муниципальным имуществом;</w:t>
            </w:r>
          </w:p>
          <w:p w:rsidR="00180191" w:rsidRPr="0069576E" w:rsidRDefault="00180191" w:rsidP="009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180191" w:rsidRPr="0069576E" w:rsidRDefault="00180191" w:rsidP="0099389C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bottom w:val="single" w:sz="4" w:space="0" w:color="000000" w:themeColor="text1"/>
            </w:tcBorders>
          </w:tcPr>
          <w:p w:rsidR="00180191" w:rsidRPr="0069576E" w:rsidRDefault="00180191" w:rsidP="0099389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34" w:rsidRPr="0069576E" w:rsidRDefault="002D1734" w:rsidP="0099389C">
      <w:pPr>
        <w:pStyle w:val="6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D1734" w:rsidRPr="0069576E" w:rsidRDefault="002D1734" w:rsidP="0099389C">
      <w:pPr>
        <w:pStyle w:val="6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D1734" w:rsidRPr="0069576E" w:rsidRDefault="002D1734" w:rsidP="0099389C">
      <w:pPr>
        <w:pStyle w:val="6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52725B" w:rsidRPr="0069576E" w:rsidRDefault="0052725B" w:rsidP="00993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725B" w:rsidRPr="0069576E" w:rsidSect="00AF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56" w:rsidRPr="008E3258" w:rsidRDefault="004B7D56" w:rsidP="008E3258">
      <w:pPr>
        <w:pStyle w:val="20"/>
        <w:spacing w:before="0" w:after="0" w:line="240" w:lineRule="auto"/>
        <w:rPr>
          <w:sz w:val="22"/>
          <w:szCs w:val="22"/>
        </w:rPr>
      </w:pPr>
      <w:r>
        <w:separator/>
      </w:r>
    </w:p>
  </w:endnote>
  <w:endnote w:type="continuationSeparator" w:id="1">
    <w:p w:rsidR="004B7D56" w:rsidRPr="008E3258" w:rsidRDefault="004B7D56" w:rsidP="008E3258">
      <w:pPr>
        <w:pStyle w:val="20"/>
        <w:spacing w:before="0" w:after="0" w:line="240" w:lineRule="auto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56" w:rsidRPr="008E3258" w:rsidRDefault="004B7D56" w:rsidP="008E3258">
      <w:pPr>
        <w:pStyle w:val="20"/>
        <w:spacing w:before="0" w:after="0" w:line="240" w:lineRule="auto"/>
        <w:rPr>
          <w:sz w:val="22"/>
          <w:szCs w:val="22"/>
        </w:rPr>
      </w:pPr>
      <w:r>
        <w:separator/>
      </w:r>
    </w:p>
  </w:footnote>
  <w:footnote w:type="continuationSeparator" w:id="1">
    <w:p w:rsidR="004B7D56" w:rsidRPr="008E3258" w:rsidRDefault="004B7D56" w:rsidP="008E3258">
      <w:pPr>
        <w:pStyle w:val="20"/>
        <w:spacing w:before="0" w:after="0" w:line="240" w:lineRule="auto"/>
        <w:rPr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734"/>
    <w:rsid w:val="0008232B"/>
    <w:rsid w:val="000F7072"/>
    <w:rsid w:val="00180191"/>
    <w:rsid w:val="0021464E"/>
    <w:rsid w:val="002D1734"/>
    <w:rsid w:val="00367949"/>
    <w:rsid w:val="00487AA1"/>
    <w:rsid w:val="004B7D56"/>
    <w:rsid w:val="0052725B"/>
    <w:rsid w:val="00580909"/>
    <w:rsid w:val="00613D4A"/>
    <w:rsid w:val="00655E86"/>
    <w:rsid w:val="0069576E"/>
    <w:rsid w:val="00842646"/>
    <w:rsid w:val="008E3258"/>
    <w:rsid w:val="0099389C"/>
    <w:rsid w:val="00AF7080"/>
    <w:rsid w:val="00B41034"/>
    <w:rsid w:val="00BC0602"/>
    <w:rsid w:val="00D36B91"/>
    <w:rsid w:val="00D94CEE"/>
    <w:rsid w:val="00DB278C"/>
    <w:rsid w:val="00ED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73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2D1734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2D1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2D1734"/>
    <w:rPr>
      <w:rFonts w:ascii="Arial" w:eastAsia="Calibri" w:hAnsi="Arial" w:cs="Arial"/>
    </w:rPr>
  </w:style>
  <w:style w:type="character" w:customStyle="1" w:styleId="2">
    <w:name w:val="Основной текст (2)_"/>
    <w:link w:val="20"/>
    <w:rsid w:val="002D173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734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2D1734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1734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212pt">
    <w:name w:val="Основной текст (2) + 12 pt"/>
    <w:rsid w:val="002D1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2D1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73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E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3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2022-02-25T09:28:00Z</cp:lastPrinted>
  <dcterms:created xsi:type="dcterms:W3CDTF">2022-02-25T06:21:00Z</dcterms:created>
  <dcterms:modified xsi:type="dcterms:W3CDTF">2024-02-09T12:17:00Z</dcterms:modified>
</cp:coreProperties>
</file>