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1F" w:rsidRPr="001E703D" w:rsidRDefault="00B15B1F" w:rsidP="00B15B1F">
      <w:pPr>
        <w:pStyle w:val="a3"/>
        <w:jc w:val="center"/>
      </w:pPr>
      <w:r>
        <w:rPr>
          <w:sz w:val="28"/>
          <w:szCs w:val="28"/>
        </w:rPr>
        <w:t>Прогноз</w:t>
      </w:r>
      <w:r w:rsidRPr="001E703D">
        <w:rPr>
          <w:sz w:val="28"/>
          <w:szCs w:val="28"/>
        </w:rPr>
        <w:t xml:space="preserve"> социально-экономического развития</w:t>
      </w:r>
    </w:p>
    <w:p w:rsidR="00B15B1F" w:rsidRPr="001E703D" w:rsidRDefault="00B15B1F" w:rsidP="00B15B1F">
      <w:pPr>
        <w:pStyle w:val="a3"/>
        <w:jc w:val="center"/>
      </w:pPr>
      <w:r w:rsidRPr="001E703D">
        <w:rPr>
          <w:sz w:val="28"/>
          <w:szCs w:val="28"/>
        </w:rPr>
        <w:t>Базарно-Карабулакского муниципального района</w:t>
      </w:r>
    </w:p>
    <w:p w:rsidR="00B15B1F" w:rsidRDefault="00B15B1F" w:rsidP="00B15B1F">
      <w:pPr>
        <w:pStyle w:val="a3"/>
        <w:jc w:val="center"/>
        <w:rPr>
          <w:sz w:val="28"/>
          <w:szCs w:val="28"/>
        </w:rPr>
      </w:pPr>
      <w:r w:rsidRPr="001E703D">
        <w:rPr>
          <w:sz w:val="28"/>
          <w:szCs w:val="28"/>
        </w:rPr>
        <w:t>на 2024-2026 годы.</w:t>
      </w:r>
    </w:p>
    <w:p w:rsidR="00B15B1F" w:rsidRPr="001E703D" w:rsidRDefault="00B15B1F" w:rsidP="00B15B1F">
      <w:pPr>
        <w:pStyle w:val="a3"/>
        <w:jc w:val="center"/>
      </w:pPr>
    </w:p>
    <w:p w:rsidR="00B15B1F" w:rsidRPr="001E703D" w:rsidRDefault="00B15B1F" w:rsidP="00B15B1F">
      <w:pPr>
        <w:pStyle w:val="a3"/>
        <w:ind w:firstLine="540"/>
        <w:jc w:val="both"/>
      </w:pPr>
      <w:r w:rsidRPr="001E703D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2024-2026 годы разрабатываются по базовому сценарию.</w:t>
      </w:r>
    </w:p>
    <w:p w:rsidR="00B15B1F" w:rsidRPr="001E703D" w:rsidRDefault="00B15B1F" w:rsidP="00B15B1F">
      <w:pPr>
        <w:pStyle w:val="a3"/>
        <w:ind w:firstLine="540"/>
        <w:jc w:val="both"/>
      </w:pPr>
      <w:r w:rsidRPr="001E703D">
        <w:rPr>
          <w:sz w:val="28"/>
        </w:rPr>
        <w:t xml:space="preserve">В 2024 году предприятия района отгрузят товаров собственного производства, выполнят работ и услуг собственными силами на сумму 645,0 млн. руб., </w:t>
      </w:r>
      <w:r w:rsidRPr="001E703D">
        <w:rPr>
          <w:color w:val="000000"/>
          <w:sz w:val="28"/>
        </w:rPr>
        <w:t>106,9</w:t>
      </w:r>
      <w:r w:rsidRPr="001E703D">
        <w:rPr>
          <w:sz w:val="28"/>
        </w:rPr>
        <w:t xml:space="preserve">%  уровня 2023 года, в 2025 году – </w:t>
      </w:r>
      <w:r w:rsidRPr="001E703D">
        <w:rPr>
          <w:color w:val="000000"/>
          <w:sz w:val="28"/>
        </w:rPr>
        <w:t>682,6</w:t>
      </w:r>
      <w:r w:rsidRPr="001E703D">
        <w:rPr>
          <w:sz w:val="28"/>
        </w:rPr>
        <w:t xml:space="preserve"> млн</w:t>
      </w:r>
      <w:proofErr w:type="gramStart"/>
      <w:r w:rsidRPr="001E703D">
        <w:rPr>
          <w:sz w:val="28"/>
        </w:rPr>
        <w:t>.р</w:t>
      </w:r>
      <w:proofErr w:type="gramEnd"/>
      <w:r w:rsidRPr="001E703D">
        <w:rPr>
          <w:sz w:val="28"/>
        </w:rPr>
        <w:t xml:space="preserve">уб., или </w:t>
      </w:r>
      <w:r w:rsidRPr="001E703D">
        <w:rPr>
          <w:color w:val="000000"/>
          <w:sz w:val="28"/>
        </w:rPr>
        <w:t>105,8</w:t>
      </w:r>
      <w:r w:rsidRPr="001E703D">
        <w:rPr>
          <w:sz w:val="28"/>
        </w:rPr>
        <w:t xml:space="preserve">% уровня 2024 года, в 2026 году- </w:t>
      </w:r>
      <w:r w:rsidRPr="001E703D">
        <w:rPr>
          <w:color w:val="000000"/>
          <w:sz w:val="28"/>
        </w:rPr>
        <w:t>724,3</w:t>
      </w:r>
      <w:r w:rsidRPr="001E703D">
        <w:rPr>
          <w:sz w:val="28"/>
        </w:rPr>
        <w:t xml:space="preserve"> млн.руб., или 106,1% уровня 2025 года.</w:t>
      </w:r>
    </w:p>
    <w:p w:rsidR="00B15B1F" w:rsidRPr="00180865" w:rsidRDefault="00B15B1F" w:rsidP="00B15B1F">
      <w:pPr>
        <w:pStyle w:val="a3"/>
        <w:jc w:val="both"/>
      </w:pPr>
      <w:r w:rsidRPr="00180865">
        <w:rPr>
          <w:sz w:val="28"/>
        </w:rPr>
        <w:t xml:space="preserve">       Объем валовой продукции сельского хозяйства в 2024 году составит        </w:t>
      </w:r>
      <w:r w:rsidRPr="00180865">
        <w:rPr>
          <w:color w:val="000000"/>
          <w:sz w:val="28"/>
        </w:rPr>
        <w:t>6 850</w:t>
      </w:r>
      <w:r w:rsidRPr="00180865">
        <w:rPr>
          <w:sz w:val="28"/>
        </w:rPr>
        <w:t xml:space="preserve">  млн</w:t>
      </w:r>
      <w:proofErr w:type="gramStart"/>
      <w:r w:rsidRPr="00180865">
        <w:rPr>
          <w:sz w:val="28"/>
        </w:rPr>
        <w:t>.р</w:t>
      </w:r>
      <w:proofErr w:type="gramEnd"/>
      <w:r w:rsidRPr="00180865">
        <w:rPr>
          <w:sz w:val="28"/>
        </w:rPr>
        <w:t xml:space="preserve">уб., или </w:t>
      </w:r>
      <w:r w:rsidRPr="00180865">
        <w:rPr>
          <w:color w:val="000000"/>
          <w:sz w:val="28"/>
        </w:rPr>
        <w:t>107,1</w:t>
      </w:r>
      <w:r w:rsidRPr="00180865">
        <w:rPr>
          <w:sz w:val="28"/>
        </w:rPr>
        <w:t xml:space="preserve">% к уровню 2023 года, в 2025 году — </w:t>
      </w:r>
      <w:r w:rsidRPr="00180865">
        <w:rPr>
          <w:color w:val="000000"/>
          <w:sz w:val="28"/>
        </w:rPr>
        <w:t>7 270</w:t>
      </w:r>
      <w:r w:rsidRPr="00180865">
        <w:rPr>
          <w:sz w:val="28"/>
        </w:rPr>
        <w:t xml:space="preserve"> млн.руб. </w:t>
      </w:r>
      <w:r w:rsidRPr="00180865">
        <w:rPr>
          <w:color w:val="000000"/>
          <w:sz w:val="28"/>
        </w:rPr>
        <w:t>и</w:t>
      </w:r>
      <w:r w:rsidRPr="00180865">
        <w:rPr>
          <w:sz w:val="28"/>
        </w:rPr>
        <w:t xml:space="preserve">ли </w:t>
      </w:r>
      <w:r w:rsidRPr="00180865">
        <w:rPr>
          <w:color w:val="000000"/>
          <w:sz w:val="28"/>
        </w:rPr>
        <w:t>106,1</w:t>
      </w:r>
      <w:r w:rsidRPr="00180865">
        <w:rPr>
          <w:sz w:val="28"/>
        </w:rPr>
        <w:t xml:space="preserve">% к уровню 2024 года, в 2026 году — </w:t>
      </w:r>
      <w:r w:rsidRPr="00180865">
        <w:rPr>
          <w:color w:val="000000"/>
          <w:sz w:val="28"/>
        </w:rPr>
        <w:t>7 695</w:t>
      </w:r>
      <w:r w:rsidRPr="00180865">
        <w:rPr>
          <w:sz w:val="28"/>
        </w:rPr>
        <w:t xml:space="preserve"> млн.руб. или </w:t>
      </w:r>
      <w:r w:rsidRPr="00180865">
        <w:rPr>
          <w:color w:val="000000"/>
          <w:sz w:val="28"/>
        </w:rPr>
        <w:t>105,8</w:t>
      </w:r>
      <w:r w:rsidRPr="00180865">
        <w:rPr>
          <w:sz w:val="28"/>
        </w:rPr>
        <w:t>% к уровню 2025 года.</w:t>
      </w:r>
    </w:p>
    <w:p w:rsidR="00B15B1F" w:rsidRPr="00E250FF" w:rsidRDefault="00B15B1F" w:rsidP="00B15B1F">
      <w:pPr>
        <w:pStyle w:val="a3"/>
        <w:jc w:val="both"/>
      </w:pPr>
      <w:r w:rsidRPr="00E250FF">
        <w:rPr>
          <w:sz w:val="28"/>
        </w:rPr>
        <w:t xml:space="preserve">        Оборот розничной торговли в 202</w:t>
      </w:r>
      <w:r w:rsidRPr="00E250FF">
        <w:rPr>
          <w:color w:val="000000"/>
          <w:sz w:val="28"/>
        </w:rPr>
        <w:t>4</w:t>
      </w:r>
      <w:r w:rsidRPr="00E250FF">
        <w:rPr>
          <w:sz w:val="28"/>
        </w:rPr>
        <w:t xml:space="preserve"> году увеличится на </w:t>
      </w:r>
      <w:r w:rsidRPr="00E250FF">
        <w:rPr>
          <w:color w:val="000000"/>
          <w:sz w:val="28"/>
        </w:rPr>
        <w:t>9,2</w:t>
      </w:r>
      <w:r w:rsidRPr="00E250FF">
        <w:rPr>
          <w:sz w:val="28"/>
        </w:rPr>
        <w:t xml:space="preserve"> % по сравнению с 202</w:t>
      </w:r>
      <w:r w:rsidRPr="00E250FF">
        <w:rPr>
          <w:color w:val="000000"/>
          <w:sz w:val="28"/>
        </w:rPr>
        <w:t>3</w:t>
      </w:r>
      <w:r w:rsidRPr="00E250FF">
        <w:rPr>
          <w:sz w:val="28"/>
        </w:rPr>
        <w:t xml:space="preserve"> годом и составит </w:t>
      </w:r>
      <w:r w:rsidRPr="00E250FF">
        <w:rPr>
          <w:color w:val="000000"/>
          <w:sz w:val="28"/>
        </w:rPr>
        <w:t>2 303,9</w:t>
      </w:r>
      <w:r w:rsidRPr="00E250FF">
        <w:rPr>
          <w:sz w:val="28"/>
        </w:rPr>
        <w:t xml:space="preserve"> млн. руб., в 2025 году – </w:t>
      </w:r>
      <w:r w:rsidRPr="00E250FF">
        <w:rPr>
          <w:color w:val="000000"/>
          <w:sz w:val="28"/>
        </w:rPr>
        <w:t xml:space="preserve">2 487,0 </w:t>
      </w:r>
      <w:r w:rsidRPr="00E250FF">
        <w:rPr>
          <w:sz w:val="28"/>
        </w:rPr>
        <w:t>млн</w:t>
      </w:r>
      <w:proofErr w:type="gramStart"/>
      <w:r w:rsidRPr="00E250FF">
        <w:rPr>
          <w:sz w:val="28"/>
        </w:rPr>
        <w:t>.р</w:t>
      </w:r>
      <w:proofErr w:type="gramEnd"/>
      <w:r w:rsidRPr="00E250FF">
        <w:rPr>
          <w:sz w:val="28"/>
        </w:rPr>
        <w:t xml:space="preserve">уб., или </w:t>
      </w:r>
      <w:r w:rsidRPr="00E250FF">
        <w:rPr>
          <w:color w:val="000000"/>
          <w:sz w:val="28"/>
        </w:rPr>
        <w:t>108</w:t>
      </w:r>
      <w:r w:rsidRPr="00E250FF">
        <w:rPr>
          <w:sz w:val="28"/>
        </w:rPr>
        <w:t xml:space="preserve">% к уровню 2024 года, в 2026 году – </w:t>
      </w:r>
      <w:r w:rsidRPr="00E250FF">
        <w:rPr>
          <w:color w:val="000000"/>
          <w:sz w:val="28"/>
        </w:rPr>
        <w:t>2 688,0</w:t>
      </w:r>
      <w:r w:rsidRPr="00E250FF">
        <w:rPr>
          <w:sz w:val="28"/>
        </w:rPr>
        <w:t xml:space="preserve"> млн.руб. или 108,1% к уровню 2025 года.</w:t>
      </w:r>
    </w:p>
    <w:p w:rsidR="00B15B1F" w:rsidRPr="004E55E9" w:rsidRDefault="00B15B1F" w:rsidP="00B15B1F">
      <w:pPr>
        <w:pStyle w:val="a3"/>
        <w:jc w:val="both"/>
      </w:pPr>
      <w:r w:rsidRPr="004E55E9">
        <w:rPr>
          <w:sz w:val="28"/>
        </w:rPr>
        <w:t xml:space="preserve">         Организациями общественного питания в 2024 году будет реализовано продукции на </w:t>
      </w:r>
      <w:r w:rsidRPr="004E55E9">
        <w:rPr>
          <w:color w:val="000000"/>
          <w:sz w:val="28"/>
        </w:rPr>
        <w:t>61,8</w:t>
      </w:r>
      <w:r w:rsidRPr="004E55E9">
        <w:rPr>
          <w:sz w:val="28"/>
        </w:rPr>
        <w:t xml:space="preserve"> млн. руб., или </w:t>
      </w:r>
      <w:r w:rsidRPr="004E55E9">
        <w:rPr>
          <w:color w:val="000000"/>
          <w:sz w:val="28"/>
        </w:rPr>
        <w:t>109,2</w:t>
      </w:r>
      <w:r w:rsidRPr="004E55E9">
        <w:rPr>
          <w:sz w:val="28"/>
        </w:rPr>
        <w:t>% к уровню 202</w:t>
      </w:r>
      <w:r w:rsidRPr="004E55E9">
        <w:rPr>
          <w:color w:val="000000"/>
          <w:sz w:val="28"/>
        </w:rPr>
        <w:t>3</w:t>
      </w:r>
      <w:r w:rsidRPr="004E55E9">
        <w:rPr>
          <w:sz w:val="28"/>
        </w:rPr>
        <w:t xml:space="preserve"> года, в 2025 году-</w:t>
      </w:r>
      <w:r w:rsidRPr="004E55E9">
        <w:rPr>
          <w:color w:val="000000"/>
          <w:sz w:val="28"/>
        </w:rPr>
        <w:t>66,7</w:t>
      </w:r>
      <w:r w:rsidRPr="004E55E9">
        <w:rPr>
          <w:sz w:val="28"/>
        </w:rPr>
        <w:t xml:space="preserve"> млн</w:t>
      </w:r>
      <w:proofErr w:type="gramStart"/>
      <w:r w:rsidRPr="004E55E9">
        <w:rPr>
          <w:sz w:val="28"/>
        </w:rPr>
        <w:t>.р</w:t>
      </w:r>
      <w:proofErr w:type="gramEnd"/>
      <w:r w:rsidRPr="004E55E9">
        <w:rPr>
          <w:sz w:val="28"/>
        </w:rPr>
        <w:t xml:space="preserve">уб. или 107,9% к уровню 2024 года, в 2026 году – </w:t>
      </w:r>
      <w:r w:rsidRPr="004E55E9">
        <w:rPr>
          <w:color w:val="000000"/>
          <w:sz w:val="28"/>
        </w:rPr>
        <w:t>72,1</w:t>
      </w:r>
      <w:r w:rsidRPr="004E55E9">
        <w:rPr>
          <w:sz w:val="28"/>
        </w:rPr>
        <w:t xml:space="preserve"> млн.руб. или </w:t>
      </w:r>
      <w:r w:rsidRPr="004E55E9">
        <w:rPr>
          <w:color w:val="000000"/>
          <w:sz w:val="28"/>
        </w:rPr>
        <w:t>108,1</w:t>
      </w:r>
      <w:r w:rsidRPr="004E55E9">
        <w:rPr>
          <w:sz w:val="28"/>
        </w:rPr>
        <w:t>% к уровню 2025 года.</w:t>
      </w:r>
    </w:p>
    <w:p w:rsidR="00B15B1F" w:rsidRPr="00BA4805" w:rsidRDefault="00B15B1F" w:rsidP="00B15B1F">
      <w:pPr>
        <w:pStyle w:val="a3"/>
        <w:jc w:val="both"/>
      </w:pPr>
      <w:r w:rsidRPr="00BA4805">
        <w:rPr>
          <w:sz w:val="28"/>
        </w:rPr>
        <w:t xml:space="preserve">         </w:t>
      </w:r>
      <w:proofErr w:type="gramStart"/>
      <w:r w:rsidRPr="00BA4805">
        <w:rPr>
          <w:sz w:val="28"/>
        </w:rPr>
        <w:t>Средняя заработная плата, начисленная работникам организаций района в 2024 году составит</w:t>
      </w:r>
      <w:proofErr w:type="gramEnd"/>
      <w:r w:rsidRPr="00BA4805">
        <w:rPr>
          <w:sz w:val="28"/>
        </w:rPr>
        <w:t xml:space="preserve"> </w:t>
      </w:r>
      <w:r w:rsidRPr="00BA4805">
        <w:rPr>
          <w:color w:val="000000"/>
          <w:sz w:val="28"/>
        </w:rPr>
        <w:t>36 698,4</w:t>
      </w:r>
      <w:r w:rsidRPr="00BA4805">
        <w:rPr>
          <w:sz w:val="28"/>
        </w:rPr>
        <w:t xml:space="preserve"> руб., что на </w:t>
      </w:r>
      <w:r w:rsidRPr="00BA4805">
        <w:rPr>
          <w:color w:val="000000"/>
          <w:sz w:val="28"/>
        </w:rPr>
        <w:t>7,9</w:t>
      </w:r>
      <w:r w:rsidRPr="00BA4805">
        <w:rPr>
          <w:sz w:val="28"/>
        </w:rPr>
        <w:t xml:space="preserve">% выше уровня 2023 года, в 2025 году – </w:t>
      </w:r>
      <w:r w:rsidRPr="00BA4805">
        <w:rPr>
          <w:color w:val="000000"/>
          <w:sz w:val="28"/>
        </w:rPr>
        <w:t>39 267,0</w:t>
      </w:r>
      <w:r w:rsidRPr="00BA4805">
        <w:rPr>
          <w:sz w:val="28"/>
        </w:rPr>
        <w:t xml:space="preserve"> руб. или 107% к уровню 2024 года, в 2026 году – </w:t>
      </w:r>
      <w:r w:rsidRPr="00BA4805">
        <w:rPr>
          <w:color w:val="000000"/>
          <w:sz w:val="28"/>
        </w:rPr>
        <w:t>41 849,5</w:t>
      </w:r>
      <w:r w:rsidRPr="00BA4805">
        <w:rPr>
          <w:sz w:val="28"/>
        </w:rPr>
        <w:t xml:space="preserve"> руб. или 106,6% к уровню 2025 года.</w:t>
      </w:r>
    </w:p>
    <w:p w:rsidR="00B15B1F" w:rsidRPr="00DC219D" w:rsidRDefault="00B15B1F" w:rsidP="00B15B1F">
      <w:pPr>
        <w:pStyle w:val="a3"/>
        <w:jc w:val="both"/>
      </w:pPr>
      <w:r w:rsidRPr="00BA4805">
        <w:rPr>
          <w:sz w:val="28"/>
        </w:rPr>
        <w:t xml:space="preserve">          Валовой районный продукт в 2024 году составит</w:t>
      </w:r>
      <w:r w:rsidRPr="00DC219D">
        <w:rPr>
          <w:sz w:val="28"/>
        </w:rPr>
        <w:t xml:space="preserve"> </w:t>
      </w:r>
      <w:r w:rsidRPr="00DC219D">
        <w:rPr>
          <w:color w:val="000000"/>
          <w:sz w:val="28"/>
        </w:rPr>
        <w:t>9 473,7</w:t>
      </w:r>
      <w:r w:rsidRPr="00DC219D">
        <w:rPr>
          <w:sz w:val="28"/>
        </w:rPr>
        <w:t xml:space="preserve"> млн</w:t>
      </w:r>
      <w:proofErr w:type="gramStart"/>
      <w:r w:rsidRPr="00DC219D">
        <w:rPr>
          <w:sz w:val="28"/>
        </w:rPr>
        <w:t>.р</w:t>
      </w:r>
      <w:proofErr w:type="gramEnd"/>
      <w:r w:rsidRPr="00DC219D">
        <w:rPr>
          <w:sz w:val="28"/>
        </w:rPr>
        <w:t xml:space="preserve">уб., что больше уровня 2023 года на </w:t>
      </w:r>
      <w:r w:rsidRPr="00DC219D">
        <w:rPr>
          <w:color w:val="000000"/>
          <w:sz w:val="28"/>
        </w:rPr>
        <w:t>7,6</w:t>
      </w:r>
      <w:r w:rsidRPr="00DC219D">
        <w:rPr>
          <w:sz w:val="28"/>
        </w:rPr>
        <w:t xml:space="preserve">%, в 2025 году – </w:t>
      </w:r>
      <w:r w:rsidRPr="00DC219D">
        <w:rPr>
          <w:color w:val="000000"/>
          <w:sz w:val="28"/>
        </w:rPr>
        <w:t>10 096,8</w:t>
      </w:r>
      <w:r w:rsidRPr="00DC219D">
        <w:rPr>
          <w:sz w:val="28"/>
        </w:rPr>
        <w:t xml:space="preserve"> млн.руб. или </w:t>
      </w:r>
      <w:r w:rsidRPr="00DC219D">
        <w:rPr>
          <w:color w:val="000000"/>
          <w:sz w:val="28"/>
        </w:rPr>
        <w:t>106,6</w:t>
      </w:r>
      <w:r w:rsidRPr="00DC219D">
        <w:rPr>
          <w:sz w:val="28"/>
        </w:rPr>
        <w:t xml:space="preserve">% к уровню 2024 года, в 2026 году — </w:t>
      </w:r>
      <w:r w:rsidRPr="00DC219D">
        <w:rPr>
          <w:color w:val="000000"/>
          <w:sz w:val="28"/>
        </w:rPr>
        <w:t>10 744,8</w:t>
      </w:r>
      <w:r w:rsidRPr="00DC219D">
        <w:rPr>
          <w:sz w:val="28"/>
        </w:rPr>
        <w:t xml:space="preserve"> млн.руб. или </w:t>
      </w:r>
      <w:r w:rsidRPr="00DC219D">
        <w:rPr>
          <w:color w:val="000000"/>
          <w:sz w:val="28"/>
        </w:rPr>
        <w:t>106,4</w:t>
      </w:r>
      <w:r w:rsidRPr="00DC219D">
        <w:rPr>
          <w:sz w:val="28"/>
        </w:rPr>
        <w:t>% к уровню 2025 года.</w:t>
      </w:r>
    </w:p>
    <w:p w:rsidR="00B15B1F" w:rsidRPr="00DC219D" w:rsidRDefault="00B15B1F" w:rsidP="00B15B1F">
      <w:pPr>
        <w:pStyle w:val="a3"/>
        <w:jc w:val="both"/>
        <w:rPr>
          <w:sz w:val="28"/>
        </w:rPr>
      </w:pPr>
    </w:p>
    <w:p w:rsidR="00B15B1F" w:rsidRPr="00DC219D" w:rsidRDefault="00B15B1F" w:rsidP="00B15B1F">
      <w:pPr>
        <w:pStyle w:val="a3"/>
        <w:jc w:val="both"/>
        <w:rPr>
          <w:sz w:val="28"/>
        </w:rPr>
      </w:pPr>
    </w:p>
    <w:p w:rsidR="00987F4F" w:rsidRDefault="00987F4F"/>
    <w:sectPr w:rsidR="00987F4F" w:rsidSect="0098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1F"/>
    <w:rsid w:val="0025227E"/>
    <w:rsid w:val="002820F3"/>
    <w:rsid w:val="002F5438"/>
    <w:rsid w:val="00331660"/>
    <w:rsid w:val="00364AAE"/>
    <w:rsid w:val="0041556B"/>
    <w:rsid w:val="00445FE8"/>
    <w:rsid w:val="00503C9F"/>
    <w:rsid w:val="006E1CB5"/>
    <w:rsid w:val="00757636"/>
    <w:rsid w:val="00770B3F"/>
    <w:rsid w:val="00800BBF"/>
    <w:rsid w:val="00805716"/>
    <w:rsid w:val="008351A2"/>
    <w:rsid w:val="00904D25"/>
    <w:rsid w:val="00931853"/>
    <w:rsid w:val="009862B3"/>
    <w:rsid w:val="00987F4F"/>
    <w:rsid w:val="00A22235"/>
    <w:rsid w:val="00B03B5C"/>
    <w:rsid w:val="00B15B1F"/>
    <w:rsid w:val="00B47307"/>
    <w:rsid w:val="00B7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5B1F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varvarina</dc:creator>
  <cp:lastModifiedBy>varvarina</cp:lastModifiedBy>
  <cp:revision>2</cp:revision>
  <dcterms:created xsi:type="dcterms:W3CDTF">2023-11-08T10:36:00Z</dcterms:created>
  <dcterms:modified xsi:type="dcterms:W3CDTF">2023-11-23T07:12:00Z</dcterms:modified>
</cp:coreProperties>
</file>